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BB3D2" w14:textId="77777777" w:rsidR="001326FE" w:rsidRDefault="001326FE" w:rsidP="001871BB">
      <w:pPr>
        <w:rPr>
          <w:b/>
          <w:color w:val="018EA5"/>
          <w:sz w:val="40"/>
          <w:szCs w:val="40"/>
        </w:rPr>
      </w:pPr>
    </w:p>
    <w:p w14:paraId="106A0DE8" w14:textId="1060C372" w:rsidR="001871BB" w:rsidRDefault="00DF14FF" w:rsidP="0014164C">
      <w:pPr>
        <w:jc w:val="center"/>
        <w:rPr>
          <w:b/>
          <w:color w:val="018EA5"/>
          <w:sz w:val="40"/>
          <w:szCs w:val="40"/>
        </w:rPr>
      </w:pPr>
      <w:r>
        <w:rPr>
          <w:b/>
          <w:color w:val="018EA5"/>
          <w:sz w:val="40"/>
          <w:szCs w:val="40"/>
        </w:rPr>
        <w:t>Rural</w:t>
      </w:r>
      <w:r w:rsidR="00FB4470">
        <w:rPr>
          <w:b/>
          <w:color w:val="018EA5"/>
          <w:sz w:val="40"/>
          <w:szCs w:val="40"/>
        </w:rPr>
        <w:t>, Remote</w:t>
      </w:r>
      <w:r>
        <w:rPr>
          <w:b/>
          <w:color w:val="018EA5"/>
          <w:sz w:val="40"/>
          <w:szCs w:val="40"/>
        </w:rPr>
        <w:t xml:space="preserve"> and Indigenous </w:t>
      </w:r>
      <w:r w:rsidR="00103B82">
        <w:rPr>
          <w:b/>
          <w:color w:val="018EA5"/>
          <w:sz w:val="40"/>
          <w:szCs w:val="40"/>
        </w:rPr>
        <w:t xml:space="preserve">Overdose </w:t>
      </w:r>
      <w:r w:rsidR="001871BB">
        <w:rPr>
          <w:b/>
          <w:color w:val="018EA5"/>
          <w:sz w:val="40"/>
          <w:szCs w:val="40"/>
        </w:rPr>
        <w:t>Grant Opportunity</w:t>
      </w:r>
    </w:p>
    <w:p w14:paraId="6A98CAB2" w14:textId="38FE3A42" w:rsidR="00611D6D" w:rsidRPr="00867BE0" w:rsidRDefault="001871BB" w:rsidP="0014164C">
      <w:pPr>
        <w:tabs>
          <w:tab w:val="left" w:pos="9242"/>
        </w:tabs>
        <w:jc w:val="center"/>
      </w:pPr>
      <w:r>
        <w:rPr>
          <w:b/>
          <w:color w:val="018EA5"/>
          <w:sz w:val="40"/>
          <w:szCs w:val="40"/>
        </w:rPr>
        <w:t xml:space="preserve">Request for Proposals </w:t>
      </w:r>
      <w:r w:rsidRPr="00867BE0">
        <w:rPr>
          <w:b/>
          <w:color w:val="018EA5"/>
          <w:sz w:val="40"/>
          <w:szCs w:val="40"/>
        </w:rPr>
        <w:t xml:space="preserve">– </w:t>
      </w:r>
      <w:r w:rsidR="00580643" w:rsidRPr="00867BE0">
        <w:rPr>
          <w:b/>
          <w:color w:val="018EA5"/>
          <w:sz w:val="40"/>
          <w:szCs w:val="40"/>
        </w:rPr>
        <w:t xml:space="preserve">Application </w:t>
      </w:r>
      <w:r w:rsidRPr="00867BE0">
        <w:rPr>
          <w:b/>
          <w:color w:val="018EA5"/>
          <w:sz w:val="40"/>
          <w:szCs w:val="40"/>
        </w:rPr>
        <w:t>Guidelines</w:t>
      </w:r>
    </w:p>
    <w:p w14:paraId="6B39B9C3" w14:textId="2692D8ED" w:rsidR="001871BB" w:rsidRPr="00867BE0" w:rsidRDefault="001871BB" w:rsidP="001871BB">
      <w:pPr>
        <w:rPr>
          <w:rFonts w:cstheme="minorHAnsi"/>
          <w:b/>
          <w:sz w:val="28"/>
          <w:szCs w:val="28"/>
          <w:u w:val="single"/>
        </w:rPr>
      </w:pPr>
      <w:r w:rsidRPr="00867BE0">
        <w:rPr>
          <w:rFonts w:cstheme="minorHAnsi"/>
          <w:b/>
          <w:sz w:val="28"/>
          <w:szCs w:val="28"/>
          <w:u w:val="single"/>
        </w:rPr>
        <w:t>Timeline</w:t>
      </w:r>
    </w:p>
    <w:p w14:paraId="209870E4" w14:textId="2E033B12" w:rsidR="001871BB" w:rsidRPr="00867BE0" w:rsidRDefault="001871BB" w:rsidP="001871BB">
      <w:pPr>
        <w:rPr>
          <w:rFonts w:cstheme="minorHAnsi"/>
          <w:sz w:val="24"/>
          <w:szCs w:val="24"/>
        </w:rPr>
      </w:pPr>
      <w:bookmarkStart w:id="0" w:name="_Hlk5893307"/>
      <w:r w:rsidRPr="00867BE0">
        <w:rPr>
          <w:rFonts w:cstheme="minorHAnsi"/>
          <w:sz w:val="24"/>
          <w:szCs w:val="24"/>
        </w:rPr>
        <w:t>Application available online:</w:t>
      </w:r>
      <w:r w:rsidR="00F66352">
        <w:rPr>
          <w:rFonts w:cstheme="minorHAnsi"/>
          <w:sz w:val="24"/>
          <w:szCs w:val="24"/>
        </w:rPr>
        <w:t xml:space="preserve"> </w:t>
      </w:r>
      <w:r w:rsidR="0070289D">
        <w:rPr>
          <w:rFonts w:cstheme="minorHAnsi"/>
          <w:color w:val="ED7D31" w:themeColor="accent2"/>
          <w:sz w:val="24"/>
          <w:szCs w:val="24"/>
        </w:rPr>
        <w:t>December 4</w:t>
      </w:r>
      <w:r w:rsidR="00470D96">
        <w:rPr>
          <w:rFonts w:cstheme="minorHAnsi"/>
          <w:color w:val="ED7D31" w:themeColor="accent2"/>
          <w:sz w:val="24"/>
          <w:szCs w:val="24"/>
        </w:rPr>
        <w:t>, 2020</w:t>
      </w:r>
    </w:p>
    <w:p w14:paraId="132FA8D5" w14:textId="582540EF" w:rsidR="001871BB" w:rsidRPr="00867BE0" w:rsidRDefault="001871BB" w:rsidP="001871BB">
      <w:pPr>
        <w:rPr>
          <w:rFonts w:cstheme="minorHAnsi"/>
          <w:sz w:val="24"/>
          <w:szCs w:val="24"/>
        </w:rPr>
      </w:pPr>
      <w:r w:rsidRPr="00867BE0">
        <w:rPr>
          <w:rFonts w:cstheme="minorHAnsi"/>
          <w:sz w:val="24"/>
          <w:szCs w:val="24"/>
        </w:rPr>
        <w:t xml:space="preserve">Application deadline: </w:t>
      </w:r>
      <w:r w:rsidR="00470D96">
        <w:rPr>
          <w:rFonts w:cstheme="minorHAnsi"/>
          <w:color w:val="ED7D31" w:themeColor="accent2"/>
          <w:sz w:val="24"/>
          <w:szCs w:val="24"/>
        </w:rPr>
        <w:t xml:space="preserve">January </w:t>
      </w:r>
      <w:r w:rsidR="0070289D">
        <w:rPr>
          <w:rFonts w:cstheme="minorHAnsi"/>
          <w:color w:val="ED7D31" w:themeColor="accent2"/>
          <w:sz w:val="24"/>
          <w:szCs w:val="24"/>
        </w:rPr>
        <w:t>22</w:t>
      </w:r>
      <w:r w:rsidR="00470D96">
        <w:rPr>
          <w:rFonts w:cstheme="minorHAnsi"/>
          <w:color w:val="ED7D31" w:themeColor="accent2"/>
          <w:sz w:val="24"/>
          <w:szCs w:val="24"/>
        </w:rPr>
        <w:t>, 2021</w:t>
      </w:r>
    </w:p>
    <w:p w14:paraId="266CAA3A" w14:textId="14227EA7" w:rsidR="001871BB" w:rsidRPr="00867BE0" w:rsidRDefault="001871BB" w:rsidP="001871BB">
      <w:pPr>
        <w:rPr>
          <w:rFonts w:cstheme="minorHAnsi"/>
          <w:sz w:val="24"/>
          <w:szCs w:val="24"/>
        </w:rPr>
      </w:pPr>
      <w:r w:rsidRPr="00867BE0">
        <w:rPr>
          <w:rFonts w:cstheme="minorHAnsi"/>
          <w:sz w:val="24"/>
          <w:szCs w:val="24"/>
        </w:rPr>
        <w:t xml:space="preserve">Grants awarded: </w:t>
      </w:r>
      <w:r w:rsidR="00470D96" w:rsidRPr="00470D96">
        <w:rPr>
          <w:rFonts w:cstheme="minorHAnsi"/>
          <w:color w:val="ED7D31" w:themeColor="accent2"/>
          <w:sz w:val="24"/>
          <w:szCs w:val="24"/>
        </w:rPr>
        <w:t>February 2021</w:t>
      </w:r>
    </w:p>
    <w:p w14:paraId="671187C7" w14:textId="421E67F8" w:rsidR="00611D6D" w:rsidRPr="00867BE0" w:rsidRDefault="001871BB" w:rsidP="008E2F3B">
      <w:pPr>
        <w:rPr>
          <w:rFonts w:cstheme="minorHAnsi"/>
          <w:sz w:val="24"/>
          <w:szCs w:val="24"/>
        </w:rPr>
      </w:pPr>
      <w:r w:rsidRPr="00867BE0">
        <w:rPr>
          <w:rFonts w:cstheme="minorHAnsi"/>
          <w:sz w:val="24"/>
          <w:szCs w:val="24"/>
        </w:rPr>
        <w:t xml:space="preserve">All proposed project activities must be completed, and funding spent, by </w:t>
      </w:r>
      <w:r w:rsidR="00470D96">
        <w:rPr>
          <w:rFonts w:cstheme="minorHAnsi"/>
          <w:color w:val="ED7D31" w:themeColor="accent2"/>
          <w:sz w:val="24"/>
          <w:szCs w:val="24"/>
        </w:rPr>
        <w:t>February 2022</w:t>
      </w:r>
    </w:p>
    <w:bookmarkEnd w:id="0"/>
    <w:p w14:paraId="25D59B8A" w14:textId="0EBCBB40" w:rsidR="00CE41A5" w:rsidRPr="00867BE0" w:rsidRDefault="00CE41A5" w:rsidP="008E2F3B">
      <w:pPr>
        <w:pBdr>
          <w:bottom w:val="single" w:sz="6" w:space="1" w:color="auto"/>
        </w:pBdr>
        <w:rPr>
          <w:rFonts w:cstheme="minorHAnsi"/>
          <w:b/>
          <w:sz w:val="28"/>
          <w:szCs w:val="28"/>
          <w:u w:val="single"/>
        </w:rPr>
      </w:pPr>
    </w:p>
    <w:p w14:paraId="6FB4A128" w14:textId="65159FF0" w:rsidR="00DF14FF" w:rsidRPr="004E13BE" w:rsidRDefault="00DF14FF" w:rsidP="00DF14FF">
      <w:pPr>
        <w:jc w:val="center"/>
        <w:rPr>
          <w:b/>
          <w:bCs/>
          <w:sz w:val="28"/>
          <w:szCs w:val="28"/>
        </w:rPr>
      </w:pPr>
      <w:r w:rsidRPr="004E13BE">
        <w:rPr>
          <w:b/>
          <w:bCs/>
          <w:sz w:val="28"/>
          <w:szCs w:val="28"/>
        </w:rPr>
        <w:t>Project Overview: Rural</w:t>
      </w:r>
      <w:r w:rsidR="00FB4470">
        <w:rPr>
          <w:b/>
          <w:bCs/>
          <w:sz w:val="28"/>
          <w:szCs w:val="28"/>
        </w:rPr>
        <w:t xml:space="preserve">, Remote </w:t>
      </w:r>
      <w:r w:rsidRPr="004E13BE">
        <w:rPr>
          <w:b/>
          <w:bCs/>
          <w:sz w:val="28"/>
          <w:szCs w:val="28"/>
        </w:rPr>
        <w:t xml:space="preserve">and Indigenous Overdose </w:t>
      </w:r>
      <w:r w:rsidR="007A755B">
        <w:rPr>
          <w:b/>
          <w:bCs/>
          <w:sz w:val="28"/>
          <w:szCs w:val="28"/>
        </w:rPr>
        <w:t>Grant Opportunity</w:t>
      </w:r>
    </w:p>
    <w:p w14:paraId="6E747231" w14:textId="3E200E90" w:rsidR="00BA0925" w:rsidRDefault="00BA0925" w:rsidP="00BA0925">
      <w:pPr>
        <w:widowControl/>
        <w:spacing w:after="160" w:line="259" w:lineRule="auto"/>
        <w:rPr>
          <w:rFonts w:cstheme="minorHAnsi"/>
          <w:b/>
        </w:rPr>
      </w:pPr>
      <w:r>
        <w:rPr>
          <w:rFonts w:cstheme="minorHAnsi"/>
          <w:b/>
        </w:rPr>
        <w:t>Background</w:t>
      </w:r>
    </w:p>
    <w:p w14:paraId="3CF62E0B" w14:textId="52D3A34C" w:rsidR="00DF14FF" w:rsidRPr="00BA0925" w:rsidRDefault="00DF14FF" w:rsidP="00BA0925">
      <w:pPr>
        <w:pStyle w:val="NoSpacing"/>
        <w:spacing w:after="200" w:line="276" w:lineRule="auto"/>
        <w:jc w:val="both"/>
      </w:pPr>
      <w:r w:rsidRPr="00677772">
        <w:t>In April 2016, BC’s Provincial Health Officer</w:t>
      </w:r>
      <w:r w:rsidR="007C3A27">
        <w:t xml:space="preserve"> </w:t>
      </w:r>
      <w:r w:rsidRPr="00677772">
        <w:t xml:space="preserve">declared a public health emergency in response to an alarming increase in overdose deaths. Since the emergency was declared – despite extensive action and collaboration from government, healthcare teams, community leaders, and people with lived and living experience – over </w:t>
      </w:r>
      <w:r w:rsidR="00AC34C4">
        <w:t>6</w:t>
      </w:r>
      <w:r w:rsidRPr="00677772">
        <w:t>,000 lives have been lost to preventable drug overdose.</w:t>
      </w:r>
      <w:r w:rsidRPr="00677772">
        <w:rPr>
          <w:vertAlign w:val="superscript"/>
        </w:rPr>
        <w:footnoteReference w:id="1"/>
      </w:r>
      <w:r w:rsidRPr="00677772">
        <w:t xml:space="preserve"> </w:t>
      </w:r>
      <w:r w:rsidR="004B196B">
        <w:t>T</w:t>
      </w:r>
      <w:r>
        <w:t xml:space="preserve">here is currently no part of BC untouched by overdose, with small and mid-sized communities experiencing the crisis differently </w:t>
      </w:r>
      <w:r w:rsidR="004B196B">
        <w:t>than</w:t>
      </w:r>
      <w:r>
        <w:t xml:space="preserve"> large urban centers</w:t>
      </w:r>
      <w:r w:rsidR="00FB4470">
        <w:t xml:space="preserve">. In addition, Indigenous people who use substances and First Nations communities are </w:t>
      </w:r>
      <w:r w:rsidR="007A755B">
        <w:t>overrepresented</w:t>
      </w:r>
      <w:r w:rsidR="00FB4470">
        <w:t xml:space="preserve"> in the numbers for both </w:t>
      </w:r>
      <w:r w:rsidR="007A755B">
        <w:t xml:space="preserve">overdose </w:t>
      </w:r>
      <w:r w:rsidR="00FB4470">
        <w:t xml:space="preserve">deaths and </w:t>
      </w:r>
      <w:r w:rsidR="007A755B">
        <w:t xml:space="preserve">overdose </w:t>
      </w:r>
      <w:r w:rsidR="00FB4470">
        <w:t>events.</w:t>
      </w:r>
    </w:p>
    <w:p w14:paraId="76F39BAF" w14:textId="7FB56F1C" w:rsidR="00BA0925" w:rsidRPr="00BA0925" w:rsidRDefault="00BA0925" w:rsidP="00BA0925">
      <w:pPr>
        <w:widowControl/>
        <w:spacing w:after="160" w:line="259" w:lineRule="auto"/>
        <w:rPr>
          <w:rFonts w:cstheme="minorHAnsi"/>
          <w:b/>
        </w:rPr>
      </w:pPr>
      <w:r>
        <w:rPr>
          <w:rFonts w:cstheme="minorHAnsi"/>
          <w:b/>
        </w:rPr>
        <w:t>About the Grants</w:t>
      </w:r>
    </w:p>
    <w:p w14:paraId="7192CBD2" w14:textId="77777777" w:rsidR="00D51D81" w:rsidRDefault="00DF14FF" w:rsidP="00175694">
      <w:pPr>
        <w:jc w:val="both"/>
        <w:rPr>
          <w:rFonts w:ascii="Calibri" w:hAnsi="Calibri"/>
        </w:rPr>
      </w:pPr>
      <w:r w:rsidRPr="00133019">
        <w:rPr>
          <w:rFonts w:ascii="Calibri" w:hAnsi="Calibri"/>
          <w:lang w:val="en-CA"/>
        </w:rPr>
        <w:t xml:space="preserve">The Community Action Initiative Society of BC (CAI) has partnered with the provincial Overdose Emergency Response Centre (OERC) to provide </w:t>
      </w:r>
      <w:r w:rsidR="007A755B" w:rsidRPr="00133019">
        <w:rPr>
          <w:rFonts w:ascii="Calibri" w:hAnsi="Calibri" w:cs="Times New Roman"/>
          <w:color w:val="201F1E"/>
        </w:rPr>
        <w:t xml:space="preserve">$1,112,900 </w:t>
      </w:r>
      <w:r w:rsidRPr="00133019">
        <w:rPr>
          <w:rFonts w:ascii="Calibri" w:hAnsi="Calibri"/>
          <w:lang w:val="en-CA"/>
        </w:rPr>
        <w:t>in one-time-only funding to rural</w:t>
      </w:r>
      <w:r w:rsidR="008E72B6" w:rsidRPr="00133019">
        <w:rPr>
          <w:rFonts w:ascii="Calibri" w:hAnsi="Calibri"/>
          <w:lang w:val="en-CA"/>
        </w:rPr>
        <w:t xml:space="preserve">, </w:t>
      </w:r>
      <w:r w:rsidR="007A755B" w:rsidRPr="00133019">
        <w:rPr>
          <w:rFonts w:ascii="Calibri" w:hAnsi="Calibri"/>
          <w:lang w:val="en-CA"/>
        </w:rPr>
        <w:t>remote,</w:t>
      </w:r>
      <w:r w:rsidRPr="00133019">
        <w:rPr>
          <w:rFonts w:ascii="Calibri" w:hAnsi="Calibri"/>
          <w:lang w:val="en-CA"/>
        </w:rPr>
        <w:t xml:space="preserve"> and Indigenous </w:t>
      </w:r>
      <w:r w:rsidRPr="00133019">
        <w:rPr>
          <w:rFonts w:ascii="Calibri" w:hAnsi="Calibri"/>
          <w:lang w:val="en-CA"/>
        </w:rPr>
        <w:lastRenderedPageBreak/>
        <w:t xml:space="preserve">communities. </w:t>
      </w:r>
      <w:r w:rsidR="001326FE" w:rsidRPr="00133019">
        <w:rPr>
          <w:rFonts w:ascii="Calibri" w:hAnsi="Calibri"/>
          <w:lang w:val="en-CA"/>
        </w:rPr>
        <w:t xml:space="preserve">CAI and the OERC share the goal of reducing inequitable health gaps, so that </w:t>
      </w:r>
      <w:r w:rsidR="00FB4470" w:rsidRPr="00133019">
        <w:rPr>
          <w:rFonts w:ascii="Calibri" w:hAnsi="Calibri"/>
          <w:lang w:val="en-CA"/>
        </w:rPr>
        <w:t>all communities have access to life saving services.</w:t>
      </w:r>
      <w:r w:rsidR="001326FE" w:rsidRPr="00133019">
        <w:rPr>
          <w:rFonts w:ascii="Calibri" w:hAnsi="Calibri"/>
          <w:lang w:val="en-CA"/>
        </w:rPr>
        <w:t xml:space="preserve"> </w:t>
      </w:r>
      <w:r w:rsidR="00D02E10" w:rsidRPr="00133019">
        <w:rPr>
          <w:rFonts w:ascii="Calibri" w:hAnsi="Calibri"/>
          <w:lang w:val="en-CA"/>
        </w:rPr>
        <w:t>The</w:t>
      </w:r>
      <w:r w:rsidR="001326FE" w:rsidRPr="00133019">
        <w:rPr>
          <w:rFonts w:ascii="Calibri" w:hAnsi="Calibri"/>
          <w:lang w:val="en-CA"/>
        </w:rPr>
        <w:t xml:space="preserve"> proposed </w:t>
      </w:r>
      <w:r w:rsidR="00FB4470" w:rsidRPr="00133019">
        <w:rPr>
          <w:rFonts w:ascii="Calibri" w:hAnsi="Calibri"/>
          <w:lang w:val="en-CA"/>
        </w:rPr>
        <w:t>grant</w:t>
      </w:r>
      <w:r w:rsidR="00D02E10" w:rsidRPr="00133019">
        <w:rPr>
          <w:rFonts w:ascii="Calibri" w:hAnsi="Calibri"/>
          <w:lang w:val="en-CA"/>
        </w:rPr>
        <w:t xml:space="preserve"> opportunity</w:t>
      </w:r>
      <w:r w:rsidR="00FB4470" w:rsidRPr="00133019">
        <w:rPr>
          <w:rFonts w:ascii="Calibri" w:hAnsi="Calibri"/>
          <w:lang w:val="en-CA"/>
        </w:rPr>
        <w:t xml:space="preserve"> </w:t>
      </w:r>
      <w:r w:rsidR="001326FE" w:rsidRPr="00133019">
        <w:rPr>
          <w:rFonts w:ascii="Calibri" w:hAnsi="Calibri"/>
          <w:lang w:val="en-CA"/>
        </w:rPr>
        <w:t>seek</w:t>
      </w:r>
      <w:r w:rsidR="00D02E10" w:rsidRPr="00133019">
        <w:rPr>
          <w:rFonts w:ascii="Calibri" w:hAnsi="Calibri"/>
          <w:lang w:val="en-CA"/>
        </w:rPr>
        <w:t>s</w:t>
      </w:r>
      <w:r w:rsidR="001326FE" w:rsidRPr="00133019">
        <w:rPr>
          <w:rFonts w:ascii="Calibri" w:hAnsi="Calibri"/>
          <w:lang w:val="en-CA"/>
        </w:rPr>
        <w:t xml:space="preserve"> </w:t>
      </w:r>
      <w:r w:rsidR="00FB4470" w:rsidRPr="00133019">
        <w:rPr>
          <w:rFonts w:ascii="Calibri" w:hAnsi="Calibri"/>
        </w:rPr>
        <w:t xml:space="preserve">to address inequity by providing funding for rural, remote and Indigenous communities to increase their capacity to serve community members impacted by the overdose crisis. </w:t>
      </w:r>
    </w:p>
    <w:p w14:paraId="065A1B1B" w14:textId="6AF17E66" w:rsidR="00DF14FF" w:rsidRPr="00133019" w:rsidRDefault="00D51D81" w:rsidP="00175694">
      <w:pPr>
        <w:jc w:val="both"/>
        <w:rPr>
          <w:rFonts w:ascii="Calibri" w:hAnsi="Calibri"/>
          <w:lang w:val="en-CA"/>
        </w:rPr>
      </w:pPr>
      <w:r>
        <w:rPr>
          <w:rFonts w:ascii="Calibri" w:hAnsi="Calibri"/>
          <w:lang w:val="en-CA"/>
        </w:rPr>
        <w:t>Projects submitted for funding</w:t>
      </w:r>
      <w:r w:rsidR="00DF14FF" w:rsidRPr="00133019">
        <w:rPr>
          <w:rFonts w:ascii="Calibri" w:hAnsi="Calibri"/>
          <w:lang w:val="en-CA"/>
        </w:rPr>
        <w:t xml:space="preserve"> </w:t>
      </w:r>
      <w:r>
        <w:rPr>
          <w:rFonts w:ascii="Calibri" w:hAnsi="Calibri"/>
          <w:lang w:val="en-CA"/>
        </w:rPr>
        <w:t>are required to</w:t>
      </w:r>
      <w:r w:rsidR="00DF14FF" w:rsidRPr="00133019">
        <w:rPr>
          <w:rFonts w:ascii="Calibri" w:hAnsi="Calibri"/>
          <w:lang w:val="en-CA"/>
        </w:rPr>
        <w:t xml:space="preserve"> align</w:t>
      </w:r>
      <w:r>
        <w:rPr>
          <w:rFonts w:ascii="Calibri" w:hAnsi="Calibri"/>
          <w:lang w:val="en-CA"/>
        </w:rPr>
        <w:t xml:space="preserve"> with at least one item from the OERC’s Comprehensive Package framework of Core Interventions (See Appendix</w:t>
      </w:r>
      <w:r w:rsidR="00BB2F9B">
        <w:rPr>
          <w:rFonts w:ascii="Calibri" w:hAnsi="Calibri"/>
          <w:lang w:val="en-CA"/>
        </w:rPr>
        <w:t xml:space="preserve"> A</w:t>
      </w:r>
      <w:r>
        <w:rPr>
          <w:rFonts w:ascii="Calibri" w:hAnsi="Calibri"/>
          <w:lang w:val="en-CA"/>
        </w:rPr>
        <w:t xml:space="preserve">), and preference will be given to projects which address </w:t>
      </w:r>
      <w:r w:rsidR="00DF14FF" w:rsidRPr="00133019">
        <w:rPr>
          <w:rFonts w:ascii="Calibri" w:hAnsi="Calibri"/>
          <w:lang w:val="en-CA"/>
        </w:rPr>
        <w:t xml:space="preserve">recommendations made during the October 2019 </w:t>
      </w:r>
      <w:hyperlink r:id="rId8" w:history="1">
        <w:r w:rsidR="00DF14FF" w:rsidRPr="00133019">
          <w:rPr>
            <w:rStyle w:val="Hyperlink"/>
            <w:rFonts w:ascii="Calibri" w:hAnsi="Calibri"/>
            <w:lang w:val="en-CA"/>
          </w:rPr>
          <w:t>Rural and Indigenous Overdose Action Exchange</w:t>
        </w:r>
      </w:hyperlink>
      <w:r w:rsidR="00DF14FF" w:rsidRPr="00133019">
        <w:rPr>
          <w:rFonts w:ascii="Calibri" w:hAnsi="Calibri"/>
          <w:lang w:val="en-CA"/>
        </w:rPr>
        <w:t xml:space="preserve"> as per the following four categories: </w:t>
      </w:r>
    </w:p>
    <w:p w14:paraId="49CE9806" w14:textId="77777777" w:rsidR="00DF14FF" w:rsidRPr="00133019" w:rsidRDefault="00DF14FF" w:rsidP="00F67FA2">
      <w:pPr>
        <w:pStyle w:val="ListParagraph"/>
        <w:numPr>
          <w:ilvl w:val="0"/>
          <w:numId w:val="7"/>
        </w:numPr>
        <w:spacing w:after="160" w:line="256" w:lineRule="auto"/>
        <w:jc w:val="both"/>
      </w:pPr>
      <w:r w:rsidRPr="00133019">
        <w:t>Tackling stigma and shame</w:t>
      </w:r>
    </w:p>
    <w:p w14:paraId="15AB0762" w14:textId="77777777" w:rsidR="00DF14FF" w:rsidRPr="00133019" w:rsidRDefault="00DF14FF" w:rsidP="00F67FA2">
      <w:pPr>
        <w:pStyle w:val="ListParagraph"/>
        <w:numPr>
          <w:ilvl w:val="0"/>
          <w:numId w:val="7"/>
        </w:numPr>
        <w:spacing w:after="160" w:line="256" w:lineRule="auto"/>
        <w:jc w:val="both"/>
      </w:pPr>
      <w:r w:rsidRPr="00133019">
        <w:t>Creative solutions in harm reduction and peer involvement</w:t>
      </w:r>
    </w:p>
    <w:p w14:paraId="5D46EEFA" w14:textId="77777777" w:rsidR="00DF14FF" w:rsidRPr="00133019" w:rsidRDefault="00DF14FF" w:rsidP="00F67FA2">
      <w:pPr>
        <w:pStyle w:val="ListParagraph"/>
        <w:numPr>
          <w:ilvl w:val="0"/>
          <w:numId w:val="7"/>
        </w:numPr>
        <w:spacing w:after="160" w:line="256" w:lineRule="auto"/>
        <w:jc w:val="both"/>
      </w:pPr>
      <w:r w:rsidRPr="00133019">
        <w:t>Generating creative and innovative solutions</w:t>
      </w:r>
    </w:p>
    <w:p w14:paraId="054AC564" w14:textId="77777777" w:rsidR="00DF14FF" w:rsidRPr="00133019" w:rsidRDefault="00DF14FF" w:rsidP="00F67FA2">
      <w:pPr>
        <w:pStyle w:val="ListParagraph"/>
        <w:numPr>
          <w:ilvl w:val="0"/>
          <w:numId w:val="7"/>
        </w:numPr>
        <w:spacing w:after="160" w:line="256" w:lineRule="auto"/>
        <w:jc w:val="both"/>
      </w:pPr>
      <w:r w:rsidRPr="00133019">
        <w:t xml:space="preserve">Regional reflections </w:t>
      </w:r>
    </w:p>
    <w:p w14:paraId="20833544" w14:textId="5A90CBDA" w:rsidR="00DF14FF" w:rsidRPr="00133019" w:rsidRDefault="00BB2F9B" w:rsidP="00F67FA2">
      <w:pPr>
        <w:jc w:val="both"/>
        <w:rPr>
          <w:rFonts w:ascii="Calibri" w:hAnsi="Calibri"/>
          <w:lang w:val="en-CA"/>
        </w:rPr>
      </w:pPr>
      <w:r>
        <w:rPr>
          <w:rFonts w:ascii="Calibri" w:hAnsi="Calibri"/>
          <w:lang w:val="en-CA"/>
        </w:rPr>
        <w:t>Please consult Appendix B for</w:t>
      </w:r>
      <w:r w:rsidRPr="00133019">
        <w:rPr>
          <w:rFonts w:ascii="Calibri" w:hAnsi="Calibri"/>
          <w:lang w:val="en-CA"/>
        </w:rPr>
        <w:t xml:space="preserve"> </w:t>
      </w:r>
      <w:r>
        <w:rPr>
          <w:rFonts w:ascii="Calibri" w:hAnsi="Calibri"/>
          <w:lang w:val="en-CA"/>
        </w:rPr>
        <w:t>project examples and ideas from the Rural and Indigenous Overdose Action Exchange.</w:t>
      </w:r>
      <w:r w:rsidRPr="00133019" w:rsidDel="00D51D81">
        <w:rPr>
          <w:rFonts w:ascii="Calibri" w:hAnsi="Calibri"/>
          <w:lang w:val="en-CA"/>
        </w:rPr>
        <w:t xml:space="preserve"> </w:t>
      </w:r>
      <w:r w:rsidR="00D51D81">
        <w:rPr>
          <w:rFonts w:ascii="Calibri" w:hAnsi="Calibri"/>
          <w:lang w:val="en-CA"/>
        </w:rPr>
        <w:t>A</w:t>
      </w:r>
      <w:r w:rsidR="006A32B1" w:rsidRPr="00133019">
        <w:rPr>
          <w:rFonts w:ascii="Calibri" w:hAnsi="Calibri"/>
          <w:lang w:val="en-CA"/>
        </w:rPr>
        <w:t>pplicants are encouraged to submit</w:t>
      </w:r>
      <w:r w:rsidR="001326FE" w:rsidRPr="00133019">
        <w:rPr>
          <w:rFonts w:ascii="Calibri" w:hAnsi="Calibri"/>
          <w:lang w:val="en-CA"/>
        </w:rPr>
        <w:t xml:space="preserve"> innovative overdose prevention and response initiatives that are tailored to the</w:t>
      </w:r>
      <w:r w:rsidR="006A32B1" w:rsidRPr="00133019">
        <w:rPr>
          <w:rFonts w:ascii="Calibri" w:hAnsi="Calibri"/>
          <w:lang w:val="en-CA"/>
        </w:rPr>
        <w:t>ir</w:t>
      </w:r>
      <w:r w:rsidR="001326FE" w:rsidRPr="00133019">
        <w:rPr>
          <w:rFonts w:ascii="Calibri" w:hAnsi="Calibri"/>
          <w:lang w:val="en-CA"/>
        </w:rPr>
        <w:t xml:space="preserve"> local context</w:t>
      </w:r>
      <w:r w:rsidR="006A32B1" w:rsidRPr="00133019">
        <w:rPr>
          <w:rFonts w:ascii="Calibri" w:hAnsi="Calibri"/>
          <w:lang w:val="en-CA"/>
        </w:rPr>
        <w:t>s</w:t>
      </w:r>
      <w:r w:rsidR="001326FE" w:rsidRPr="00133019">
        <w:rPr>
          <w:rFonts w:ascii="Calibri" w:hAnsi="Calibri"/>
          <w:lang w:val="en-CA"/>
        </w:rPr>
        <w:t>.</w:t>
      </w:r>
    </w:p>
    <w:p w14:paraId="7228F0C5" w14:textId="6311D30B" w:rsidR="00BA0925" w:rsidRPr="00BA0925" w:rsidRDefault="00BA0925" w:rsidP="00BA0925">
      <w:pPr>
        <w:widowControl/>
        <w:spacing w:after="160" w:line="259" w:lineRule="auto"/>
        <w:rPr>
          <w:rFonts w:cstheme="minorHAnsi"/>
          <w:b/>
        </w:rPr>
      </w:pPr>
      <w:r>
        <w:rPr>
          <w:rFonts w:cstheme="minorHAnsi"/>
          <w:b/>
        </w:rPr>
        <w:t>Timeline</w:t>
      </w:r>
    </w:p>
    <w:p w14:paraId="5095A5F2" w14:textId="0AAD5BC7" w:rsidR="00D808CE" w:rsidRPr="00867BE0" w:rsidRDefault="00DF14FF" w:rsidP="00F67FA2">
      <w:pPr>
        <w:jc w:val="both"/>
        <w:rPr>
          <w:rFonts w:cstheme="minorHAnsi"/>
          <w:sz w:val="24"/>
          <w:szCs w:val="24"/>
        </w:rPr>
      </w:pPr>
      <w:r>
        <w:rPr>
          <w:lang w:val="en-CA"/>
        </w:rPr>
        <w:t xml:space="preserve">Beginning in </w:t>
      </w:r>
      <w:r w:rsidR="00FC1AD1">
        <w:rPr>
          <w:lang w:val="en-CA"/>
        </w:rPr>
        <w:t>Septembe</w:t>
      </w:r>
      <w:r w:rsidR="00B4753F">
        <w:rPr>
          <w:lang w:val="en-CA"/>
        </w:rPr>
        <w:t>r</w:t>
      </w:r>
      <w:r w:rsidR="00FC1AD1">
        <w:rPr>
          <w:lang w:val="en-CA"/>
        </w:rPr>
        <w:t xml:space="preserve"> </w:t>
      </w:r>
      <w:r>
        <w:rPr>
          <w:lang w:val="en-CA"/>
        </w:rPr>
        <w:t xml:space="preserve">2020, CAI </w:t>
      </w:r>
      <w:r w:rsidR="001326FE">
        <w:rPr>
          <w:lang w:val="en-CA"/>
        </w:rPr>
        <w:t>convened</w:t>
      </w:r>
      <w:r>
        <w:rPr>
          <w:lang w:val="en-CA"/>
        </w:rPr>
        <w:t xml:space="preserve"> an Advisory Committee comprised primarily of rural and Indigenous participants, including individuals with lived and living experience of substance use. The Committee </w:t>
      </w:r>
      <w:r w:rsidR="001326FE">
        <w:rPr>
          <w:lang w:val="en-CA"/>
        </w:rPr>
        <w:t xml:space="preserve">is </w:t>
      </w:r>
      <w:r>
        <w:rPr>
          <w:lang w:val="en-CA"/>
        </w:rPr>
        <w:t>co-chaired by Marnie Scow,</w:t>
      </w:r>
      <w:r w:rsidRPr="00231C0B">
        <w:rPr>
          <w:rFonts w:ascii="Calibri" w:hAnsi="Calibri" w:cs="Calibri"/>
          <w:color w:val="000000"/>
          <w:sz w:val="27"/>
          <w:szCs w:val="27"/>
          <w:shd w:val="clear" w:color="auto" w:fill="FFFFFF"/>
        </w:rPr>
        <w:t xml:space="preserve"> </w:t>
      </w:r>
      <w:r w:rsidRPr="00231C0B">
        <w:rPr>
          <w:rFonts w:ascii="Calibri" w:eastAsia="Times New Roman" w:hAnsi="Calibri" w:cs="Calibri"/>
          <w:color w:val="000000"/>
          <w:shd w:val="clear" w:color="auto" w:fill="FFFFFF"/>
        </w:rPr>
        <w:t>from the Kwakiutl Nation</w:t>
      </w:r>
      <w:r>
        <w:rPr>
          <w:rFonts w:ascii="Calibri" w:eastAsia="Times New Roman" w:hAnsi="Calibri" w:cs="Calibri"/>
          <w:color w:val="000000"/>
          <w:sz w:val="24"/>
          <w:szCs w:val="24"/>
          <w:shd w:val="clear" w:color="auto" w:fill="FFFFFF"/>
        </w:rPr>
        <w:t xml:space="preserve"> and </w:t>
      </w:r>
      <w:r>
        <w:rPr>
          <w:lang w:val="en-CA"/>
        </w:rPr>
        <w:t>Janine Stevenson</w:t>
      </w:r>
      <w:r w:rsidR="001326FE">
        <w:rPr>
          <w:lang w:val="en-CA"/>
        </w:rPr>
        <w:t xml:space="preserve">, who were recently embedded in </w:t>
      </w:r>
      <w:r>
        <w:rPr>
          <w:lang w:val="en-CA"/>
        </w:rPr>
        <w:t xml:space="preserve">FNHA’s response to the overdose crisis, working at community, regional and provincial levels. The Advisory Committee </w:t>
      </w:r>
      <w:r w:rsidR="00EA4464">
        <w:rPr>
          <w:lang w:val="en-CA"/>
        </w:rPr>
        <w:t>met several times to</w:t>
      </w:r>
      <w:r>
        <w:rPr>
          <w:lang w:val="en-CA"/>
        </w:rPr>
        <w:t xml:space="preserve"> co-create and design the granting program, including: the grant application, grant application guidelines and adjudication strategy.</w:t>
      </w:r>
      <w:r w:rsidR="00D02E10">
        <w:rPr>
          <w:lang w:val="en-CA"/>
        </w:rPr>
        <w:t xml:space="preserve"> Grant funding is anticipated to flow to communities by late </w:t>
      </w:r>
      <w:r w:rsidR="0070289D">
        <w:rPr>
          <w:lang w:val="en-CA"/>
        </w:rPr>
        <w:t>February</w:t>
      </w:r>
      <w:r w:rsidR="00D02E10">
        <w:rPr>
          <w:lang w:val="en-CA"/>
        </w:rPr>
        <w:t xml:space="preserve"> 2021. </w:t>
      </w:r>
      <w:r>
        <w:rPr>
          <w:lang w:val="en-CA"/>
        </w:rPr>
        <w:t xml:space="preserve"> </w:t>
      </w:r>
    </w:p>
    <w:p w14:paraId="7B69FAD9" w14:textId="06494775" w:rsidR="00BA0925" w:rsidRPr="00BA0925" w:rsidRDefault="00BA0925" w:rsidP="00BA0925">
      <w:pPr>
        <w:widowControl/>
        <w:spacing w:after="160" w:line="259" w:lineRule="auto"/>
        <w:rPr>
          <w:rFonts w:cstheme="minorHAnsi"/>
          <w:b/>
        </w:rPr>
      </w:pPr>
      <w:r>
        <w:rPr>
          <w:rFonts w:cstheme="minorHAnsi"/>
          <w:b/>
        </w:rPr>
        <w:t>CAI Granting Principles</w:t>
      </w:r>
    </w:p>
    <w:p w14:paraId="60EA93C0" w14:textId="26F0EDF0" w:rsidR="004A03E5" w:rsidRPr="0014164C" w:rsidRDefault="007D6A5E" w:rsidP="001975B4">
      <w:pPr>
        <w:rPr>
          <w:rFonts w:cstheme="minorHAnsi"/>
          <w:b/>
        </w:rPr>
      </w:pPr>
      <w:r w:rsidRPr="0014164C">
        <w:rPr>
          <w:rFonts w:cstheme="minorHAnsi"/>
        </w:rPr>
        <w:t>CAI w</w:t>
      </w:r>
      <w:r w:rsidR="00FB49B0" w:rsidRPr="0014164C">
        <w:rPr>
          <w:rFonts w:cstheme="minorHAnsi"/>
        </w:rPr>
        <w:t>ork</w:t>
      </w:r>
      <w:r w:rsidRPr="0014164C">
        <w:rPr>
          <w:rFonts w:cstheme="minorHAnsi"/>
        </w:rPr>
        <w:t>s</w:t>
      </w:r>
      <w:r w:rsidR="00FB49B0" w:rsidRPr="0014164C">
        <w:rPr>
          <w:rFonts w:cstheme="minorHAnsi"/>
        </w:rPr>
        <w:t xml:space="preserve"> directly with communi</w:t>
      </w:r>
      <w:r w:rsidR="00753298" w:rsidRPr="0014164C">
        <w:rPr>
          <w:rFonts w:cstheme="minorHAnsi"/>
        </w:rPr>
        <w:t>ties</w:t>
      </w:r>
      <w:r w:rsidR="00FB49B0" w:rsidRPr="0014164C">
        <w:rPr>
          <w:rFonts w:cstheme="minorHAnsi"/>
        </w:rPr>
        <w:t xml:space="preserve"> to leverage local knowledge and build a strong and sustainable </w:t>
      </w:r>
      <w:r w:rsidR="00EA4464">
        <w:rPr>
          <w:rFonts w:cstheme="minorHAnsi"/>
        </w:rPr>
        <w:t>m</w:t>
      </w:r>
      <w:r w:rsidR="00FB49B0" w:rsidRPr="0014164C">
        <w:rPr>
          <w:rFonts w:cstheme="minorHAnsi"/>
        </w:rPr>
        <w:t xml:space="preserve">ental </w:t>
      </w:r>
      <w:r w:rsidR="00EA4464">
        <w:rPr>
          <w:rFonts w:cstheme="minorHAnsi"/>
        </w:rPr>
        <w:t>h</w:t>
      </w:r>
      <w:r w:rsidR="00FB49B0" w:rsidRPr="0014164C">
        <w:rPr>
          <w:rFonts w:cstheme="minorHAnsi"/>
        </w:rPr>
        <w:t xml:space="preserve">ealth and </w:t>
      </w:r>
      <w:r w:rsidR="00EA4464">
        <w:rPr>
          <w:rFonts w:cstheme="minorHAnsi"/>
        </w:rPr>
        <w:t>s</w:t>
      </w:r>
      <w:r w:rsidR="00FB49B0" w:rsidRPr="0014164C">
        <w:rPr>
          <w:rFonts w:cstheme="minorHAnsi"/>
        </w:rPr>
        <w:t xml:space="preserve">ubstance </w:t>
      </w:r>
      <w:r w:rsidR="00EA4464">
        <w:rPr>
          <w:rFonts w:cstheme="minorHAnsi"/>
        </w:rPr>
        <w:t>u</w:t>
      </w:r>
      <w:r w:rsidR="00FB49B0" w:rsidRPr="0014164C">
        <w:rPr>
          <w:rFonts w:cstheme="minorHAnsi"/>
        </w:rPr>
        <w:t>se sector.</w:t>
      </w:r>
      <w:r w:rsidRPr="0014164C">
        <w:rPr>
          <w:rFonts w:cstheme="minorHAnsi"/>
        </w:rPr>
        <w:t xml:space="preserve"> CAI strives to</w:t>
      </w:r>
      <w:r w:rsidR="001975B4" w:rsidRPr="0014164C">
        <w:rPr>
          <w:rFonts w:cstheme="minorHAnsi"/>
        </w:rPr>
        <w:t xml:space="preserve">: </w:t>
      </w:r>
      <w:r w:rsidRPr="0014164C">
        <w:rPr>
          <w:rFonts w:cstheme="minorHAnsi"/>
        </w:rPr>
        <w:t xml:space="preserve"> </w:t>
      </w:r>
    </w:p>
    <w:p w14:paraId="6365EC71" w14:textId="3D60D3E9" w:rsidR="004E5724" w:rsidRPr="0014164C" w:rsidRDefault="007D6A5E" w:rsidP="00175694">
      <w:pPr>
        <w:pStyle w:val="ListParagraph"/>
        <w:numPr>
          <w:ilvl w:val="0"/>
          <w:numId w:val="28"/>
        </w:numPr>
        <w:rPr>
          <w:rFonts w:asciiTheme="minorHAnsi" w:hAnsiTheme="minorHAnsi" w:cstheme="minorHAnsi"/>
        </w:rPr>
      </w:pPr>
      <w:r w:rsidRPr="0014164C">
        <w:rPr>
          <w:rFonts w:asciiTheme="minorHAnsi" w:hAnsiTheme="minorHAnsi" w:cstheme="minorHAnsi"/>
        </w:rPr>
        <w:t>build equity in communities by making grant processes accessible, especially for groups that experience exclusion</w:t>
      </w:r>
      <w:r w:rsidR="00E76659" w:rsidRPr="0014164C">
        <w:rPr>
          <w:rFonts w:asciiTheme="minorHAnsi" w:hAnsiTheme="minorHAnsi" w:cstheme="minorHAnsi"/>
        </w:rPr>
        <w:t>;</w:t>
      </w:r>
      <w:r w:rsidRPr="0014164C">
        <w:rPr>
          <w:rFonts w:asciiTheme="minorHAnsi" w:hAnsiTheme="minorHAnsi" w:cstheme="minorHAnsi"/>
        </w:rPr>
        <w:t xml:space="preserve"> </w:t>
      </w:r>
    </w:p>
    <w:p w14:paraId="18AB8E2D" w14:textId="57F0D287" w:rsidR="00B541EB" w:rsidRPr="0014164C" w:rsidRDefault="00B541EB" w:rsidP="00175694">
      <w:pPr>
        <w:pStyle w:val="ListParagraph"/>
        <w:numPr>
          <w:ilvl w:val="0"/>
          <w:numId w:val="28"/>
        </w:numPr>
        <w:rPr>
          <w:rFonts w:asciiTheme="minorHAnsi" w:hAnsiTheme="minorHAnsi" w:cstheme="minorHAnsi"/>
        </w:rPr>
      </w:pPr>
      <w:r w:rsidRPr="0014164C">
        <w:rPr>
          <w:rFonts w:asciiTheme="minorHAnsi" w:hAnsiTheme="minorHAnsi" w:cstheme="minorHAnsi"/>
        </w:rPr>
        <w:t xml:space="preserve">be transparent, and consistent with </w:t>
      </w:r>
      <w:r w:rsidR="00EA4464">
        <w:rPr>
          <w:rFonts w:asciiTheme="minorHAnsi" w:hAnsiTheme="minorHAnsi" w:cstheme="minorHAnsi"/>
        </w:rPr>
        <w:t>the</w:t>
      </w:r>
      <w:r w:rsidR="00EA4464" w:rsidRPr="0014164C">
        <w:rPr>
          <w:rFonts w:asciiTheme="minorHAnsi" w:hAnsiTheme="minorHAnsi" w:cstheme="minorHAnsi"/>
        </w:rPr>
        <w:t xml:space="preserve"> </w:t>
      </w:r>
      <w:r w:rsidRPr="0014164C">
        <w:rPr>
          <w:rFonts w:asciiTheme="minorHAnsi" w:hAnsiTheme="minorHAnsi" w:cstheme="minorHAnsi"/>
        </w:rPr>
        <w:t>gran</w:t>
      </w:r>
      <w:r w:rsidR="004E77EB" w:rsidRPr="0014164C">
        <w:rPr>
          <w:rFonts w:asciiTheme="minorHAnsi" w:hAnsiTheme="minorHAnsi" w:cstheme="minorHAnsi"/>
        </w:rPr>
        <w:t xml:space="preserve">ting </w:t>
      </w:r>
      <w:r w:rsidRPr="0014164C">
        <w:rPr>
          <w:rFonts w:asciiTheme="minorHAnsi" w:hAnsiTheme="minorHAnsi" w:cstheme="minorHAnsi"/>
        </w:rPr>
        <w:t>processes</w:t>
      </w:r>
      <w:r w:rsidR="00E76659" w:rsidRPr="0014164C">
        <w:rPr>
          <w:rFonts w:asciiTheme="minorHAnsi" w:hAnsiTheme="minorHAnsi" w:cstheme="minorHAnsi"/>
        </w:rPr>
        <w:t>;</w:t>
      </w:r>
      <w:r w:rsidRPr="0014164C">
        <w:rPr>
          <w:rFonts w:asciiTheme="minorHAnsi" w:hAnsiTheme="minorHAnsi" w:cstheme="minorHAnsi"/>
        </w:rPr>
        <w:t xml:space="preserve"> </w:t>
      </w:r>
    </w:p>
    <w:p w14:paraId="07C14BBF" w14:textId="209482AA" w:rsidR="00DD62D5" w:rsidRPr="0014164C" w:rsidRDefault="00DD62D5" w:rsidP="00175694">
      <w:pPr>
        <w:pStyle w:val="ListParagraph"/>
        <w:numPr>
          <w:ilvl w:val="0"/>
          <w:numId w:val="28"/>
        </w:numPr>
        <w:rPr>
          <w:rFonts w:asciiTheme="minorHAnsi" w:hAnsiTheme="minorHAnsi" w:cstheme="minorHAnsi"/>
        </w:rPr>
      </w:pPr>
      <w:r w:rsidRPr="0014164C">
        <w:rPr>
          <w:rFonts w:asciiTheme="minorHAnsi" w:hAnsiTheme="minorHAnsi" w:cstheme="minorHAnsi"/>
          <w:shd w:val="clear" w:color="auto" w:fill="FFFFFF"/>
        </w:rPr>
        <w:t xml:space="preserve">ensure sound stewardship of resources and accountability </w:t>
      </w:r>
      <w:r w:rsidR="00B541EB" w:rsidRPr="0014164C">
        <w:rPr>
          <w:rFonts w:asciiTheme="minorHAnsi" w:hAnsiTheme="minorHAnsi" w:cstheme="minorHAnsi"/>
          <w:shd w:val="clear" w:color="auto" w:fill="FFFFFF"/>
        </w:rPr>
        <w:t>for impact</w:t>
      </w:r>
      <w:r w:rsidR="004E77EB" w:rsidRPr="0014164C">
        <w:rPr>
          <w:rFonts w:asciiTheme="minorHAnsi" w:hAnsiTheme="minorHAnsi" w:cstheme="minorHAnsi"/>
          <w:shd w:val="clear" w:color="auto" w:fill="FFFFFF"/>
        </w:rPr>
        <w:t>;</w:t>
      </w:r>
      <w:r w:rsidR="00626A99" w:rsidRPr="0014164C">
        <w:rPr>
          <w:rFonts w:asciiTheme="minorHAnsi" w:hAnsiTheme="minorHAnsi" w:cstheme="minorHAnsi"/>
          <w:shd w:val="clear" w:color="auto" w:fill="FFFFFF"/>
        </w:rPr>
        <w:t xml:space="preserve"> </w:t>
      </w:r>
    </w:p>
    <w:p w14:paraId="6F1FC5FF" w14:textId="4D30CA11" w:rsidR="00626A99" w:rsidRPr="0014164C" w:rsidRDefault="00210DC5" w:rsidP="00175694">
      <w:pPr>
        <w:pStyle w:val="ListParagraph"/>
        <w:numPr>
          <w:ilvl w:val="0"/>
          <w:numId w:val="28"/>
        </w:numPr>
        <w:rPr>
          <w:rFonts w:asciiTheme="minorHAnsi" w:hAnsiTheme="minorHAnsi" w:cstheme="minorHAnsi"/>
        </w:rPr>
      </w:pPr>
      <w:r w:rsidRPr="0014164C">
        <w:rPr>
          <w:rFonts w:asciiTheme="minorHAnsi" w:hAnsiTheme="minorHAnsi" w:cstheme="minorHAnsi"/>
        </w:rPr>
        <w:t>inform g</w:t>
      </w:r>
      <w:r w:rsidR="00956CD9" w:rsidRPr="0014164C">
        <w:rPr>
          <w:rFonts w:asciiTheme="minorHAnsi" w:hAnsiTheme="minorHAnsi" w:cstheme="minorHAnsi"/>
        </w:rPr>
        <w:t xml:space="preserve">rant making by pursuing strategies </w:t>
      </w:r>
      <w:r w:rsidRPr="0014164C">
        <w:rPr>
          <w:rFonts w:asciiTheme="minorHAnsi" w:hAnsiTheme="minorHAnsi" w:cstheme="minorHAnsi"/>
        </w:rPr>
        <w:t>using</w:t>
      </w:r>
      <w:r w:rsidR="00956CD9" w:rsidRPr="0014164C">
        <w:rPr>
          <w:rFonts w:asciiTheme="minorHAnsi" w:hAnsiTheme="minorHAnsi" w:cstheme="minorHAnsi"/>
        </w:rPr>
        <w:t xml:space="preserve"> evidence, historical context, traditional knowledge and the voices of community</w:t>
      </w:r>
      <w:r w:rsidR="00E76659" w:rsidRPr="0014164C">
        <w:rPr>
          <w:rFonts w:asciiTheme="minorHAnsi" w:hAnsiTheme="minorHAnsi" w:cstheme="minorHAnsi"/>
        </w:rPr>
        <w:t xml:space="preserve">; </w:t>
      </w:r>
    </w:p>
    <w:p w14:paraId="0E5D2AA2" w14:textId="61B23019" w:rsidR="00AB01B5" w:rsidRPr="0014164C" w:rsidRDefault="00B541EB" w:rsidP="00175694">
      <w:pPr>
        <w:pStyle w:val="ListParagraph"/>
        <w:numPr>
          <w:ilvl w:val="0"/>
          <w:numId w:val="28"/>
        </w:numPr>
        <w:rPr>
          <w:rFonts w:asciiTheme="minorHAnsi" w:hAnsiTheme="minorHAnsi" w:cstheme="minorHAnsi"/>
        </w:rPr>
      </w:pPr>
      <w:r w:rsidRPr="0014164C">
        <w:rPr>
          <w:rFonts w:asciiTheme="minorHAnsi" w:hAnsiTheme="minorHAnsi" w:cstheme="minorHAnsi"/>
        </w:rPr>
        <w:lastRenderedPageBreak/>
        <w:t>fund grants that promote</w:t>
      </w:r>
      <w:r w:rsidR="00626A99" w:rsidRPr="0014164C">
        <w:rPr>
          <w:rFonts w:asciiTheme="minorHAnsi" w:hAnsiTheme="minorHAnsi" w:cstheme="minorHAnsi"/>
        </w:rPr>
        <w:t xml:space="preserve"> diverse and culturally safe organizations, service providers, </w:t>
      </w:r>
      <w:r w:rsidR="00AB01B5" w:rsidRPr="0014164C">
        <w:rPr>
          <w:rFonts w:asciiTheme="minorHAnsi" w:hAnsiTheme="minorHAnsi" w:cstheme="minorHAnsi"/>
        </w:rPr>
        <w:t xml:space="preserve">and </w:t>
      </w:r>
      <w:r w:rsidR="00626A99" w:rsidRPr="0014164C">
        <w:rPr>
          <w:rFonts w:asciiTheme="minorHAnsi" w:hAnsiTheme="minorHAnsi" w:cstheme="minorHAnsi"/>
        </w:rPr>
        <w:t>volunteers</w:t>
      </w:r>
      <w:r w:rsidR="00AB01B5" w:rsidRPr="0014164C">
        <w:rPr>
          <w:rFonts w:asciiTheme="minorHAnsi" w:hAnsiTheme="minorHAnsi" w:cstheme="minorHAnsi"/>
        </w:rPr>
        <w:t>;</w:t>
      </w:r>
      <w:r w:rsidR="00626A99" w:rsidRPr="0014164C">
        <w:rPr>
          <w:rFonts w:asciiTheme="minorHAnsi" w:hAnsiTheme="minorHAnsi" w:cstheme="minorHAnsi"/>
        </w:rPr>
        <w:t xml:space="preserve"> and </w:t>
      </w:r>
    </w:p>
    <w:p w14:paraId="5DB33BD5" w14:textId="2024139C" w:rsidR="00EA4464" w:rsidRDefault="00626A99" w:rsidP="00175694">
      <w:pPr>
        <w:pStyle w:val="ListParagraph"/>
        <w:numPr>
          <w:ilvl w:val="0"/>
          <w:numId w:val="6"/>
        </w:numPr>
      </w:pPr>
      <w:r w:rsidRPr="0014164C">
        <w:rPr>
          <w:rFonts w:asciiTheme="minorHAnsi" w:hAnsiTheme="minorHAnsi" w:cstheme="minorHAnsi"/>
        </w:rPr>
        <w:t xml:space="preserve">engage individuals and families with lived and living experience across the lifespan. </w:t>
      </w:r>
    </w:p>
    <w:p w14:paraId="0D7D82D0" w14:textId="77777777" w:rsidR="00175694" w:rsidRDefault="00175694" w:rsidP="00AB01B5">
      <w:pPr>
        <w:widowControl/>
        <w:spacing w:after="160" w:line="259" w:lineRule="auto"/>
        <w:rPr>
          <w:rFonts w:cstheme="minorHAnsi"/>
          <w:b/>
        </w:rPr>
      </w:pPr>
    </w:p>
    <w:p w14:paraId="515CAC0D" w14:textId="77777777" w:rsidR="00175694" w:rsidRDefault="00B01987" w:rsidP="00175694">
      <w:pPr>
        <w:widowControl/>
        <w:spacing w:after="160" w:line="259" w:lineRule="auto"/>
        <w:rPr>
          <w:rFonts w:cstheme="minorHAnsi"/>
          <w:b/>
        </w:rPr>
      </w:pPr>
      <w:r w:rsidRPr="00175694">
        <w:rPr>
          <w:rFonts w:cstheme="minorHAnsi"/>
          <w:b/>
        </w:rPr>
        <w:t xml:space="preserve">Equity-Orientation </w:t>
      </w:r>
      <w:r w:rsidR="00AF3CD4" w:rsidRPr="00175694">
        <w:rPr>
          <w:rFonts w:cstheme="minorHAnsi"/>
          <w:b/>
        </w:rPr>
        <w:t xml:space="preserve">for Rural, Remote and Indigenous </w:t>
      </w:r>
      <w:r w:rsidR="00175694" w:rsidRPr="00175694">
        <w:rPr>
          <w:rFonts w:cstheme="minorHAnsi"/>
          <w:b/>
        </w:rPr>
        <w:t>C</w:t>
      </w:r>
      <w:r w:rsidR="00AF3CD4" w:rsidRPr="00175694">
        <w:rPr>
          <w:rFonts w:cstheme="minorHAnsi"/>
          <w:b/>
        </w:rPr>
        <w:t>ommunities</w:t>
      </w:r>
    </w:p>
    <w:p w14:paraId="644BFC9C" w14:textId="3D53C295" w:rsidR="00BB3961" w:rsidRPr="00175694" w:rsidRDefault="002D1151" w:rsidP="00175694">
      <w:pPr>
        <w:widowControl/>
        <w:spacing w:after="160" w:line="259" w:lineRule="auto"/>
        <w:rPr>
          <w:rStyle w:val="normaltextrun"/>
          <w:rFonts w:cstheme="minorHAnsi"/>
          <w:b/>
        </w:rPr>
      </w:pPr>
      <w:r>
        <w:rPr>
          <w:rStyle w:val="normaltextrun"/>
          <w:rFonts w:cstheme="minorHAnsi"/>
          <w:bCs/>
          <w:iCs/>
        </w:rPr>
        <w:t>As part of an equity-oriented process, this</w:t>
      </w:r>
      <w:r w:rsidR="00C46757">
        <w:rPr>
          <w:rStyle w:val="normaltextrun"/>
          <w:rFonts w:cstheme="minorHAnsi"/>
          <w:bCs/>
          <w:iCs/>
        </w:rPr>
        <w:t xml:space="preserve"> request</w:t>
      </w:r>
      <w:r>
        <w:rPr>
          <w:rStyle w:val="normaltextrun"/>
          <w:rFonts w:cstheme="minorHAnsi"/>
          <w:bCs/>
          <w:iCs/>
        </w:rPr>
        <w:t xml:space="preserve"> for proposal</w:t>
      </w:r>
      <w:r w:rsidR="00B01987">
        <w:rPr>
          <w:rStyle w:val="normaltextrun"/>
          <w:rFonts w:cstheme="minorHAnsi"/>
          <w:bCs/>
          <w:iCs/>
        </w:rPr>
        <w:t>s</w:t>
      </w:r>
      <w:r>
        <w:rPr>
          <w:rStyle w:val="normaltextrun"/>
          <w:rFonts w:cstheme="minorHAnsi"/>
          <w:bCs/>
          <w:iCs/>
        </w:rPr>
        <w:t xml:space="preserve"> encourages applica</w:t>
      </w:r>
      <w:r w:rsidR="00C46757">
        <w:rPr>
          <w:rStyle w:val="normaltextrun"/>
          <w:rFonts w:cstheme="minorHAnsi"/>
          <w:bCs/>
          <w:iCs/>
        </w:rPr>
        <w:t>nts to</w:t>
      </w:r>
      <w:r>
        <w:rPr>
          <w:rStyle w:val="normaltextrun"/>
          <w:rFonts w:cstheme="minorHAnsi"/>
          <w:bCs/>
          <w:iCs/>
        </w:rPr>
        <w:t xml:space="preserve"> </w:t>
      </w:r>
      <w:r w:rsidR="00B01987">
        <w:rPr>
          <w:rStyle w:val="normaltextrun"/>
          <w:rFonts w:cstheme="minorHAnsi"/>
          <w:bCs/>
          <w:iCs/>
        </w:rPr>
        <w:t xml:space="preserve">consider the following </w:t>
      </w:r>
      <w:r>
        <w:rPr>
          <w:rStyle w:val="normaltextrun"/>
          <w:rFonts w:cstheme="minorHAnsi"/>
          <w:bCs/>
          <w:iCs/>
        </w:rPr>
        <w:t>in project planning</w:t>
      </w:r>
      <w:r w:rsidR="00B01987">
        <w:rPr>
          <w:rStyle w:val="normaltextrun"/>
          <w:rFonts w:cstheme="minorHAnsi"/>
          <w:bCs/>
          <w:iCs/>
        </w:rPr>
        <w:t xml:space="preserve"> and implementation</w:t>
      </w:r>
      <w:r w:rsidR="00595B7D" w:rsidRPr="0014164C">
        <w:rPr>
          <w:rStyle w:val="normaltextrun"/>
          <w:rFonts w:cstheme="minorHAnsi"/>
          <w:bCs/>
          <w:iCs/>
        </w:rPr>
        <w:t xml:space="preserve">: </w:t>
      </w:r>
    </w:p>
    <w:p w14:paraId="1C6BFD7E" w14:textId="671827E4" w:rsidR="00BB3961" w:rsidRPr="00133019" w:rsidRDefault="002D1151" w:rsidP="00260CB5">
      <w:pPr>
        <w:pStyle w:val="ListParagraph"/>
        <w:numPr>
          <w:ilvl w:val="0"/>
          <w:numId w:val="5"/>
        </w:numPr>
        <w:rPr>
          <w:rStyle w:val="normaltextrun"/>
          <w:rFonts w:asciiTheme="minorHAnsi" w:hAnsiTheme="minorHAnsi" w:cstheme="minorHAnsi"/>
        </w:rPr>
      </w:pPr>
      <w:r w:rsidRPr="00133019">
        <w:rPr>
          <w:rStyle w:val="normaltextrun"/>
          <w:rFonts w:asciiTheme="minorHAnsi" w:hAnsiTheme="minorHAnsi" w:cstheme="minorHAnsi"/>
          <w:bCs/>
          <w:iCs/>
        </w:rPr>
        <w:t xml:space="preserve">supporting </w:t>
      </w:r>
      <w:r w:rsidR="00C70FA9" w:rsidRPr="00133019">
        <w:rPr>
          <w:rStyle w:val="normaltextrun"/>
          <w:rFonts w:asciiTheme="minorHAnsi" w:hAnsiTheme="minorHAnsi" w:cstheme="minorHAnsi"/>
        </w:rPr>
        <w:t>the capacity for peers</w:t>
      </w:r>
      <w:r w:rsidR="003A1DE5" w:rsidRPr="00133019">
        <w:rPr>
          <w:rStyle w:val="normaltextrun"/>
          <w:rFonts w:asciiTheme="minorHAnsi" w:hAnsiTheme="minorHAnsi" w:cstheme="minorHAnsi"/>
        </w:rPr>
        <w:t xml:space="preserve"> to</w:t>
      </w:r>
      <w:r w:rsidR="00A24F5A" w:rsidRPr="00133019">
        <w:rPr>
          <w:rStyle w:val="normaltextrun"/>
          <w:rFonts w:asciiTheme="minorHAnsi" w:hAnsiTheme="minorHAnsi" w:cstheme="minorHAnsi"/>
        </w:rPr>
        <w:t xml:space="preserve"> network, to </w:t>
      </w:r>
      <w:r w:rsidR="003A1DE5" w:rsidRPr="00133019">
        <w:rPr>
          <w:rStyle w:val="normaltextrun"/>
          <w:rFonts w:asciiTheme="minorHAnsi" w:hAnsiTheme="minorHAnsi" w:cstheme="minorHAnsi"/>
        </w:rPr>
        <w:t>be engage</w:t>
      </w:r>
      <w:r w:rsidR="00A24F5A" w:rsidRPr="00133019">
        <w:rPr>
          <w:rStyle w:val="normaltextrun"/>
          <w:rFonts w:asciiTheme="minorHAnsi" w:hAnsiTheme="minorHAnsi" w:cstheme="minorHAnsi"/>
        </w:rPr>
        <w:t>d</w:t>
      </w:r>
      <w:r w:rsidR="003A1DE5" w:rsidRPr="00133019">
        <w:rPr>
          <w:rStyle w:val="normaltextrun"/>
          <w:rFonts w:asciiTheme="minorHAnsi" w:hAnsiTheme="minorHAnsi" w:cstheme="minorHAnsi"/>
        </w:rPr>
        <w:t xml:space="preserve"> and</w:t>
      </w:r>
      <w:r w:rsidRPr="00133019">
        <w:rPr>
          <w:rStyle w:val="normaltextrun"/>
          <w:rFonts w:asciiTheme="minorHAnsi" w:hAnsiTheme="minorHAnsi" w:cstheme="minorHAnsi"/>
        </w:rPr>
        <w:t xml:space="preserve"> to</w:t>
      </w:r>
      <w:r w:rsidR="003A1DE5" w:rsidRPr="00133019">
        <w:rPr>
          <w:rStyle w:val="normaltextrun"/>
          <w:rFonts w:asciiTheme="minorHAnsi" w:hAnsiTheme="minorHAnsi" w:cstheme="minorHAnsi"/>
        </w:rPr>
        <w:t xml:space="preserve"> inform services for people who use drugs</w:t>
      </w:r>
      <w:r w:rsidR="00C70FA9" w:rsidRPr="00133019">
        <w:rPr>
          <w:rStyle w:val="normaltextrun"/>
          <w:rFonts w:asciiTheme="minorHAnsi" w:hAnsiTheme="minorHAnsi" w:cstheme="minorHAnsi"/>
        </w:rPr>
        <w:t xml:space="preserve">; </w:t>
      </w:r>
    </w:p>
    <w:p w14:paraId="7A1E1539" w14:textId="597CD7C9" w:rsidR="003A1DE5" w:rsidRPr="00133019" w:rsidRDefault="002D1151" w:rsidP="00260CB5">
      <w:pPr>
        <w:pStyle w:val="ListParagraph"/>
        <w:numPr>
          <w:ilvl w:val="0"/>
          <w:numId w:val="5"/>
        </w:numPr>
        <w:rPr>
          <w:rStyle w:val="normaltextrun"/>
          <w:rFonts w:asciiTheme="minorHAnsi" w:hAnsiTheme="minorHAnsi" w:cstheme="minorHAnsi"/>
          <w:bCs/>
        </w:rPr>
      </w:pPr>
      <w:r w:rsidRPr="00133019">
        <w:rPr>
          <w:rStyle w:val="normaltextrun"/>
          <w:rFonts w:asciiTheme="minorHAnsi" w:hAnsiTheme="minorHAnsi" w:cstheme="minorHAnsi"/>
          <w:bCs/>
          <w:iCs/>
        </w:rPr>
        <w:t xml:space="preserve">creating opportunities for </w:t>
      </w:r>
      <w:r w:rsidR="003A1DE5" w:rsidRPr="00133019">
        <w:rPr>
          <w:rStyle w:val="normaltextrun"/>
          <w:rFonts w:asciiTheme="minorHAnsi" w:hAnsiTheme="minorHAnsi" w:cstheme="minorHAnsi"/>
          <w:bCs/>
        </w:rPr>
        <w:t>Indigenous led dialogues</w:t>
      </w:r>
      <w:r w:rsidR="00B01987" w:rsidRPr="00133019">
        <w:rPr>
          <w:rStyle w:val="normaltextrun"/>
          <w:rFonts w:asciiTheme="minorHAnsi" w:hAnsiTheme="minorHAnsi" w:cstheme="minorHAnsi"/>
          <w:bCs/>
        </w:rPr>
        <w:t xml:space="preserve"> and initiatives</w:t>
      </w:r>
      <w:r w:rsidR="003A1DE5" w:rsidRPr="00133019">
        <w:rPr>
          <w:rStyle w:val="normaltextrun"/>
          <w:rFonts w:asciiTheme="minorHAnsi" w:hAnsiTheme="minorHAnsi" w:cstheme="minorHAnsi"/>
          <w:bCs/>
        </w:rPr>
        <w:t xml:space="preserve"> for Indigenous and First Nations communities</w:t>
      </w:r>
      <w:r w:rsidRPr="00133019">
        <w:rPr>
          <w:rStyle w:val="normaltextrun"/>
          <w:rFonts w:asciiTheme="minorHAnsi" w:hAnsiTheme="minorHAnsi" w:cstheme="minorHAnsi"/>
          <w:bCs/>
        </w:rPr>
        <w:t xml:space="preserve"> </w:t>
      </w:r>
      <w:r w:rsidR="003A1DE5" w:rsidRPr="00133019">
        <w:rPr>
          <w:rStyle w:val="normaltextrun"/>
          <w:rFonts w:asciiTheme="minorHAnsi" w:hAnsiTheme="minorHAnsi" w:cstheme="minorHAnsi"/>
          <w:bCs/>
        </w:rPr>
        <w:t>/</w:t>
      </w:r>
      <w:r w:rsidRPr="00133019">
        <w:rPr>
          <w:rStyle w:val="normaltextrun"/>
          <w:rFonts w:asciiTheme="minorHAnsi" w:hAnsiTheme="minorHAnsi" w:cstheme="minorHAnsi"/>
          <w:bCs/>
        </w:rPr>
        <w:t xml:space="preserve"> </w:t>
      </w:r>
      <w:r w:rsidR="003A1DE5" w:rsidRPr="00133019">
        <w:rPr>
          <w:rStyle w:val="normaltextrun"/>
          <w:rFonts w:asciiTheme="minorHAnsi" w:hAnsiTheme="minorHAnsi" w:cstheme="minorHAnsi"/>
          <w:bCs/>
        </w:rPr>
        <w:t>organizations</w:t>
      </w:r>
      <w:r w:rsidR="00B01987" w:rsidRPr="00133019">
        <w:rPr>
          <w:rStyle w:val="normaltextrun"/>
          <w:rFonts w:asciiTheme="minorHAnsi" w:hAnsiTheme="minorHAnsi" w:cstheme="minorHAnsi"/>
          <w:bCs/>
        </w:rPr>
        <w:t xml:space="preserve"> (e.g., “For Indigenous, by Indigenous”)</w:t>
      </w:r>
      <w:r w:rsidR="00C70FA9" w:rsidRPr="00133019">
        <w:rPr>
          <w:rStyle w:val="normaltextrun"/>
          <w:rFonts w:asciiTheme="minorHAnsi" w:hAnsiTheme="minorHAnsi" w:cstheme="minorHAnsi"/>
          <w:bCs/>
        </w:rPr>
        <w:t>; and</w:t>
      </w:r>
    </w:p>
    <w:p w14:paraId="753A1828" w14:textId="256F2B17" w:rsidR="00BB3961" w:rsidRPr="00133019" w:rsidRDefault="002D1151" w:rsidP="00260CB5">
      <w:pPr>
        <w:pStyle w:val="ListParagraph"/>
        <w:numPr>
          <w:ilvl w:val="0"/>
          <w:numId w:val="5"/>
        </w:numPr>
        <w:rPr>
          <w:rStyle w:val="normaltextrun"/>
          <w:rFonts w:asciiTheme="minorHAnsi" w:hAnsiTheme="minorHAnsi" w:cstheme="minorHAnsi"/>
          <w:bCs/>
          <w:iCs/>
        </w:rPr>
      </w:pPr>
      <w:r w:rsidRPr="00133019">
        <w:rPr>
          <w:rStyle w:val="normaltextrun"/>
          <w:rFonts w:asciiTheme="minorHAnsi" w:hAnsiTheme="minorHAnsi" w:cstheme="minorHAnsi"/>
          <w:bCs/>
        </w:rPr>
        <w:t xml:space="preserve">increasing </w:t>
      </w:r>
      <w:r w:rsidR="003A1DE5" w:rsidRPr="00133019">
        <w:rPr>
          <w:rStyle w:val="normaltextrun"/>
          <w:rFonts w:asciiTheme="minorHAnsi" w:hAnsiTheme="minorHAnsi" w:cstheme="minorHAnsi"/>
          <w:bCs/>
        </w:rPr>
        <w:t xml:space="preserve">the inclusion of peers and Indigenous people at </w:t>
      </w:r>
      <w:r w:rsidR="00C70FA9" w:rsidRPr="00133019">
        <w:rPr>
          <w:rStyle w:val="normaltextrun"/>
          <w:rFonts w:asciiTheme="minorHAnsi" w:hAnsiTheme="minorHAnsi" w:cstheme="minorHAnsi"/>
          <w:bCs/>
        </w:rPr>
        <w:t xml:space="preserve">existing </w:t>
      </w:r>
      <w:r w:rsidR="00F67FA2" w:rsidRPr="00133019">
        <w:rPr>
          <w:rStyle w:val="normaltextrun"/>
          <w:rFonts w:asciiTheme="minorHAnsi" w:hAnsiTheme="minorHAnsi" w:cstheme="minorHAnsi"/>
          <w:bCs/>
        </w:rPr>
        <w:t>decision-making</w:t>
      </w:r>
      <w:r w:rsidR="003A1DE5" w:rsidRPr="00133019">
        <w:rPr>
          <w:rStyle w:val="normaltextrun"/>
          <w:rFonts w:asciiTheme="minorHAnsi" w:hAnsiTheme="minorHAnsi" w:cstheme="minorHAnsi"/>
          <w:bCs/>
        </w:rPr>
        <w:t xml:space="preserve"> tables.</w:t>
      </w:r>
      <w:r w:rsidR="00595B7D" w:rsidRPr="00133019">
        <w:rPr>
          <w:rStyle w:val="normaltextrun"/>
          <w:rFonts w:asciiTheme="minorHAnsi" w:hAnsiTheme="minorHAnsi" w:cstheme="minorHAnsi"/>
          <w:bCs/>
        </w:rPr>
        <w:t xml:space="preserve"> </w:t>
      </w:r>
    </w:p>
    <w:p w14:paraId="26A2097F" w14:textId="77777777" w:rsidR="00E318D2" w:rsidRDefault="00E318D2">
      <w:pPr>
        <w:rPr>
          <w:rStyle w:val="normaltextrun"/>
          <w:rFonts w:cstheme="minorHAnsi"/>
          <w:b/>
          <w:bCs/>
          <w:iCs/>
        </w:rPr>
      </w:pPr>
    </w:p>
    <w:p w14:paraId="771884F9" w14:textId="6BBF580E" w:rsidR="00203D8A" w:rsidRDefault="00825504">
      <w:pPr>
        <w:rPr>
          <w:rStyle w:val="normaltextrun"/>
          <w:rFonts w:cstheme="minorHAnsi"/>
          <w:bCs/>
          <w:iCs/>
        </w:rPr>
      </w:pPr>
      <w:r>
        <w:rPr>
          <w:rStyle w:val="normaltextrun"/>
          <w:rFonts w:cstheme="minorHAnsi"/>
          <w:b/>
          <w:bCs/>
          <w:iCs/>
        </w:rPr>
        <w:t>The</w:t>
      </w:r>
      <w:r w:rsidR="00133019">
        <w:rPr>
          <w:rStyle w:val="normaltextrun"/>
          <w:rFonts w:cstheme="minorHAnsi"/>
          <w:b/>
          <w:bCs/>
          <w:iCs/>
        </w:rPr>
        <w:t xml:space="preserve"> Appendix </w:t>
      </w:r>
      <w:r w:rsidR="00133019">
        <w:rPr>
          <w:rStyle w:val="normaltextrun"/>
          <w:rFonts w:cstheme="minorHAnsi"/>
          <w:iCs/>
        </w:rPr>
        <w:t xml:space="preserve">provided at the end of this document </w:t>
      </w:r>
      <w:bookmarkStart w:id="1" w:name="_Hlk55889561"/>
      <w:r>
        <w:rPr>
          <w:rStyle w:val="normaltextrun"/>
          <w:rFonts w:cstheme="minorHAnsi"/>
          <w:iCs/>
        </w:rPr>
        <w:t>offers</w:t>
      </w:r>
      <w:r w:rsidR="00133019">
        <w:rPr>
          <w:rStyle w:val="normaltextrun"/>
          <w:rFonts w:cstheme="minorHAnsi"/>
          <w:iCs/>
        </w:rPr>
        <w:t xml:space="preserve"> examples </w:t>
      </w:r>
      <w:r w:rsidR="00133019" w:rsidRPr="00133019">
        <w:rPr>
          <w:rStyle w:val="normaltextrun"/>
          <w:rFonts w:cstheme="minorHAnsi"/>
          <w:iCs/>
        </w:rPr>
        <w:t>and project ideas</w:t>
      </w:r>
      <w:r w:rsidR="00133019">
        <w:rPr>
          <w:rStyle w:val="normaltextrun"/>
          <w:rFonts w:cstheme="minorHAnsi"/>
          <w:b/>
          <w:bCs/>
          <w:iCs/>
        </w:rPr>
        <w:t xml:space="preserve"> </w:t>
      </w:r>
      <w:bookmarkEnd w:id="1"/>
      <w:r w:rsidR="00133019" w:rsidRPr="00133019">
        <w:rPr>
          <w:rStyle w:val="normaltextrun"/>
          <w:rFonts w:cstheme="minorHAnsi"/>
          <w:bCs/>
          <w:iCs/>
        </w:rPr>
        <w:t>as per the following</w:t>
      </w:r>
      <w:r w:rsidR="00133019">
        <w:rPr>
          <w:rStyle w:val="normaltextrun"/>
          <w:rFonts w:cstheme="minorHAnsi"/>
          <w:bCs/>
          <w:iCs/>
        </w:rPr>
        <w:t xml:space="preserve"> frameworks: A) Rural and Indigenous Overdose Action Exchange Recommendations, and B) The OERC’s Comprehensive Package of Core Interventions. </w:t>
      </w:r>
    </w:p>
    <w:p w14:paraId="01E5DFAE" w14:textId="77777777" w:rsidR="00FB5204" w:rsidRDefault="00FB5204" w:rsidP="00FB5204">
      <w:pPr>
        <w:widowControl/>
        <w:spacing w:after="160" w:line="259" w:lineRule="auto"/>
        <w:rPr>
          <w:rFonts w:cstheme="minorHAnsi"/>
          <w:b/>
          <w:u w:val="single"/>
        </w:rPr>
      </w:pPr>
    </w:p>
    <w:p w14:paraId="7EFB70E5" w14:textId="23877574" w:rsidR="00FB5204" w:rsidRPr="00470D96" w:rsidRDefault="00FB5204" w:rsidP="00470D96">
      <w:pPr>
        <w:widowControl/>
        <w:spacing w:after="160" w:line="259" w:lineRule="auto"/>
        <w:rPr>
          <w:rFonts w:cstheme="minorHAnsi"/>
          <w:b/>
          <w:u w:val="single"/>
        </w:rPr>
      </w:pPr>
      <w:r>
        <w:rPr>
          <w:rFonts w:cstheme="minorHAnsi"/>
          <w:b/>
          <w:u w:val="single"/>
        </w:rPr>
        <w:br w:type="page"/>
      </w:r>
      <w:r w:rsidRPr="00D02E10">
        <w:rPr>
          <w:b/>
          <w:color w:val="018EA5"/>
          <w:sz w:val="32"/>
          <w:szCs w:val="32"/>
        </w:rPr>
        <w:lastRenderedPageBreak/>
        <w:t>Application Process</w:t>
      </w:r>
    </w:p>
    <w:p w14:paraId="23409107" w14:textId="63F912F7" w:rsidR="00CC7691" w:rsidRPr="0014164C" w:rsidRDefault="002579EB" w:rsidP="008703BA">
      <w:pPr>
        <w:jc w:val="both"/>
        <w:rPr>
          <w:spacing w:val="2"/>
        </w:rPr>
      </w:pPr>
      <w:r w:rsidRPr="0014164C">
        <w:rPr>
          <w:spacing w:val="1"/>
        </w:rPr>
        <w:t>Applicants</w:t>
      </w:r>
      <w:r w:rsidR="00CC7691" w:rsidRPr="0014164C">
        <w:rPr>
          <w:spacing w:val="1"/>
        </w:rPr>
        <w:t xml:space="preserve"> that </w:t>
      </w:r>
      <w:r w:rsidR="00D66498" w:rsidRPr="0014164C">
        <w:t>meet the criteria detailed below</w:t>
      </w:r>
      <w:r w:rsidR="00CC7691" w:rsidRPr="0014164C">
        <w:rPr>
          <w:spacing w:val="-5"/>
        </w:rPr>
        <w:t xml:space="preserve"> </w:t>
      </w:r>
      <w:r w:rsidR="00CC7691" w:rsidRPr="0014164C">
        <w:rPr>
          <w:spacing w:val="-1"/>
        </w:rPr>
        <w:t xml:space="preserve">are </w:t>
      </w:r>
      <w:r w:rsidR="00CC7691" w:rsidRPr="0014164C">
        <w:t>eligible</w:t>
      </w:r>
      <w:r w:rsidR="00CC7691" w:rsidRPr="0014164C">
        <w:rPr>
          <w:spacing w:val="-5"/>
        </w:rPr>
        <w:t xml:space="preserve"> </w:t>
      </w:r>
      <w:r w:rsidR="00CC7691" w:rsidRPr="0014164C">
        <w:rPr>
          <w:spacing w:val="-1"/>
        </w:rPr>
        <w:t>t</w:t>
      </w:r>
      <w:r w:rsidR="00CC7691" w:rsidRPr="0014164C">
        <w:t>o</w:t>
      </w:r>
      <w:r w:rsidR="00CC7691" w:rsidRPr="0014164C">
        <w:rPr>
          <w:spacing w:val="-2"/>
        </w:rPr>
        <w:t xml:space="preserve"> apply for </w:t>
      </w:r>
      <w:r w:rsidR="00B43E90" w:rsidRPr="0014164C">
        <w:rPr>
          <w:spacing w:val="-2"/>
        </w:rPr>
        <w:t xml:space="preserve">the </w:t>
      </w:r>
      <w:r w:rsidR="00D02E10">
        <w:rPr>
          <w:spacing w:val="-2"/>
        </w:rPr>
        <w:t>Rural, Remote and</w:t>
      </w:r>
      <w:r w:rsidR="00BA7487" w:rsidRPr="0014164C">
        <w:rPr>
          <w:spacing w:val="-2"/>
        </w:rPr>
        <w:t xml:space="preserve"> Indigenous </w:t>
      </w:r>
      <w:r w:rsidR="00D02E10">
        <w:rPr>
          <w:spacing w:val="-2"/>
        </w:rPr>
        <w:t xml:space="preserve">Overdose Grant opportunity. </w:t>
      </w:r>
      <w:r w:rsidR="00D02E10" w:rsidRPr="0014164C">
        <w:rPr>
          <w:spacing w:val="-2"/>
        </w:rPr>
        <w:t xml:space="preserve"> </w:t>
      </w:r>
      <w:r w:rsidR="00BA7487" w:rsidRPr="0014164C">
        <w:rPr>
          <w:spacing w:val="-2"/>
        </w:rPr>
        <w:t xml:space="preserve"> </w:t>
      </w:r>
      <w:r w:rsidR="00CC7691" w:rsidRPr="0014164C">
        <w:rPr>
          <w:spacing w:val="1"/>
        </w:rPr>
        <w:t>A</w:t>
      </w:r>
      <w:r w:rsidR="00CC7691" w:rsidRPr="0014164C">
        <w:t>ppl</w:t>
      </w:r>
      <w:r w:rsidR="00CC7691" w:rsidRPr="0014164C">
        <w:rPr>
          <w:spacing w:val="1"/>
        </w:rPr>
        <w:t>i</w:t>
      </w:r>
      <w:r w:rsidR="00CC7691" w:rsidRPr="0014164C">
        <w:t>cants</w:t>
      </w:r>
      <w:r w:rsidR="00CC7691" w:rsidRPr="0014164C">
        <w:rPr>
          <w:spacing w:val="-10"/>
        </w:rPr>
        <w:t xml:space="preserve"> </w:t>
      </w:r>
      <w:r w:rsidR="00CC7691" w:rsidRPr="0014164C">
        <w:t>can apply</w:t>
      </w:r>
      <w:r w:rsidR="00CC7691" w:rsidRPr="0014164C">
        <w:rPr>
          <w:spacing w:val="-5"/>
        </w:rPr>
        <w:t xml:space="preserve"> </w:t>
      </w:r>
      <w:r w:rsidR="00CC7691" w:rsidRPr="0014164C">
        <w:t>for</w:t>
      </w:r>
      <w:r w:rsidR="00CC7691" w:rsidRPr="0014164C">
        <w:rPr>
          <w:spacing w:val="-3"/>
        </w:rPr>
        <w:t xml:space="preserve"> </w:t>
      </w:r>
      <w:r w:rsidR="000B3C9B" w:rsidRPr="0014164C">
        <w:rPr>
          <w:rFonts w:eastAsia="Calibri" w:cstheme="minorHAnsi"/>
        </w:rPr>
        <w:t>up to</w:t>
      </w:r>
      <w:r w:rsidR="00B42F6F" w:rsidRPr="0014164C">
        <w:rPr>
          <w:rFonts w:eastAsia="Calibri" w:cstheme="minorHAnsi"/>
        </w:rPr>
        <w:t xml:space="preserve"> </w:t>
      </w:r>
      <w:r w:rsidR="00B01987">
        <w:rPr>
          <w:rFonts w:eastAsia="Calibri" w:cstheme="minorHAnsi"/>
        </w:rPr>
        <w:t>$</w:t>
      </w:r>
      <w:r w:rsidR="00BA7487" w:rsidRPr="0014164C">
        <w:rPr>
          <w:rFonts w:eastAsia="Calibri" w:cstheme="minorHAnsi"/>
        </w:rPr>
        <w:t>5</w:t>
      </w:r>
      <w:r w:rsidR="00825504">
        <w:rPr>
          <w:rFonts w:eastAsia="Calibri" w:cstheme="minorHAnsi"/>
        </w:rPr>
        <w:t>0</w:t>
      </w:r>
      <w:r w:rsidR="00BA7487" w:rsidRPr="0014164C">
        <w:rPr>
          <w:rFonts w:eastAsia="Calibri" w:cstheme="minorHAnsi"/>
        </w:rPr>
        <w:t>,000</w:t>
      </w:r>
      <w:r w:rsidRPr="0014164C">
        <w:t xml:space="preserve"> </w:t>
      </w:r>
      <w:r w:rsidR="00B01987">
        <w:t>in one-time-only</w:t>
      </w:r>
      <w:r w:rsidR="00FB5204">
        <w:t xml:space="preserve"> funding</w:t>
      </w:r>
      <w:r w:rsidR="00BA7487" w:rsidRPr="0014164C">
        <w:t xml:space="preserve">. </w:t>
      </w:r>
      <w:r w:rsidR="00CC7691" w:rsidRPr="0014164C">
        <w:t>CAI grants must be used solely to support the activities outlined in the applicant’s grant application. Grant recipients are strongly encouraged to seek additional financial and/or in-kind contributions from other sources</w:t>
      </w:r>
      <w:r w:rsidR="003738C6" w:rsidRPr="0014164C">
        <w:t xml:space="preserve"> to maintain programs</w:t>
      </w:r>
      <w:r w:rsidR="008703BA">
        <w:t xml:space="preserve"> or projects</w:t>
      </w:r>
      <w:r w:rsidR="003738C6" w:rsidRPr="0014164C">
        <w:t xml:space="preserve"> over time. </w:t>
      </w:r>
    </w:p>
    <w:p w14:paraId="7F087A5A" w14:textId="77777777" w:rsidR="00CC7691" w:rsidRPr="0014164C" w:rsidRDefault="00CC7691" w:rsidP="005459BE">
      <w:pPr>
        <w:spacing w:after="0" w:line="200" w:lineRule="exact"/>
        <w:rPr>
          <w:rFonts w:cstheme="minorHAnsi"/>
        </w:rPr>
      </w:pPr>
    </w:p>
    <w:p w14:paraId="4537DB3C" w14:textId="7D0B41ED" w:rsidR="00C55169" w:rsidRDefault="00CE41A5" w:rsidP="00576761">
      <w:pPr>
        <w:rPr>
          <w:rFonts w:cstheme="minorHAnsi"/>
          <w:b/>
          <w:u w:val="single"/>
        </w:rPr>
      </w:pPr>
      <w:r w:rsidRPr="0014164C">
        <w:rPr>
          <w:rFonts w:cstheme="minorHAnsi"/>
          <w:b/>
          <w:u w:val="single"/>
        </w:rPr>
        <w:t>Eligibility and Essential Requirements</w:t>
      </w:r>
    </w:p>
    <w:p w14:paraId="00C4823B" w14:textId="5D759D37" w:rsidR="00FB5204" w:rsidRPr="0014164C" w:rsidRDefault="00FB5204" w:rsidP="00FB5204">
      <w:pPr>
        <w:spacing w:after="160" w:line="259" w:lineRule="auto"/>
        <w:rPr>
          <w:rFonts w:cstheme="minorHAnsi"/>
          <w:b/>
          <w:u w:val="single"/>
        </w:rPr>
      </w:pPr>
      <w:r w:rsidRPr="0014164C">
        <w:t>CAI will consider awarding funds to</w:t>
      </w:r>
      <w:r w:rsidRPr="00EA4464">
        <w:t xml:space="preserve"> existing community </w:t>
      </w:r>
      <w:r w:rsidR="00AF3CD4">
        <w:t xml:space="preserve">organizations </w:t>
      </w:r>
      <w:r w:rsidR="00D02E10">
        <w:t xml:space="preserve">as </w:t>
      </w:r>
      <w:r w:rsidRPr="00EA4464">
        <w:t xml:space="preserve">well as </w:t>
      </w:r>
      <w:r w:rsidR="00AF3CD4">
        <w:t>peer</w:t>
      </w:r>
      <w:r w:rsidR="00825504">
        <w:t>-led</w:t>
      </w:r>
      <w:r w:rsidR="00AF3CD4">
        <w:t xml:space="preserve"> organizations</w:t>
      </w:r>
      <w:r>
        <w:t xml:space="preserve">. </w:t>
      </w:r>
      <w:r w:rsidR="00AF3CD4">
        <w:t xml:space="preserve">Peer organizations </w:t>
      </w:r>
      <w:r>
        <w:t xml:space="preserve">are required to have a lead financial agency that meets the eligibility criteria below. </w:t>
      </w:r>
    </w:p>
    <w:p w14:paraId="48B208CB" w14:textId="77777777" w:rsidR="00CC7691" w:rsidRPr="0014164C" w:rsidRDefault="00CC7691" w:rsidP="005459BE">
      <w:pPr>
        <w:spacing w:before="7" w:after="0" w:line="100" w:lineRule="exact"/>
        <w:ind w:hanging="100"/>
        <w:rPr>
          <w:rFonts w:cstheme="minorHAnsi"/>
        </w:rPr>
      </w:pPr>
    </w:p>
    <w:p w14:paraId="35A2332B" w14:textId="64C98695" w:rsidR="00C55169" w:rsidRDefault="00C55169" w:rsidP="00FB5204">
      <w:pPr>
        <w:pStyle w:val="NoSpacing"/>
        <w:rPr>
          <w:rFonts w:asciiTheme="minorHAnsi" w:hAnsiTheme="minorHAnsi" w:cstheme="minorHAnsi"/>
        </w:rPr>
      </w:pPr>
      <w:r w:rsidRPr="0014164C">
        <w:rPr>
          <w:rFonts w:asciiTheme="minorHAnsi" w:hAnsiTheme="minorHAnsi" w:cstheme="minorHAnsi"/>
        </w:rPr>
        <w:t>Applicants</w:t>
      </w:r>
      <w:r w:rsidR="00CC7691" w:rsidRPr="0014164C">
        <w:rPr>
          <w:rFonts w:asciiTheme="minorHAnsi" w:hAnsiTheme="minorHAnsi" w:cstheme="minorHAnsi"/>
        </w:rPr>
        <w:t xml:space="preserve"> </w:t>
      </w:r>
      <w:r w:rsidR="00CC7691" w:rsidRPr="0014164C">
        <w:rPr>
          <w:rFonts w:asciiTheme="minorHAnsi" w:hAnsiTheme="minorHAnsi" w:cstheme="minorHAnsi"/>
          <w:u w:val="single"/>
        </w:rPr>
        <w:t>must</w:t>
      </w:r>
      <w:r w:rsidR="00CC7691" w:rsidRPr="0014164C">
        <w:rPr>
          <w:rFonts w:asciiTheme="minorHAnsi" w:hAnsiTheme="minorHAnsi" w:cstheme="minorHAnsi"/>
        </w:rPr>
        <w:t xml:space="preserve"> be </w:t>
      </w:r>
      <w:r w:rsidRPr="0014164C">
        <w:rPr>
          <w:rFonts w:asciiTheme="minorHAnsi" w:hAnsiTheme="minorHAnsi" w:cstheme="minorHAnsi"/>
        </w:rPr>
        <w:t xml:space="preserve">one of: </w:t>
      </w:r>
    </w:p>
    <w:p w14:paraId="26AC70C4" w14:textId="77777777" w:rsidR="00C55169" w:rsidRPr="0014164C" w:rsidRDefault="00C55169" w:rsidP="00C55169">
      <w:pPr>
        <w:pStyle w:val="NoSpacing"/>
        <w:rPr>
          <w:rFonts w:asciiTheme="minorHAnsi" w:hAnsiTheme="minorHAnsi" w:cstheme="minorHAnsi"/>
        </w:rPr>
      </w:pPr>
    </w:p>
    <w:p w14:paraId="2BC018E2" w14:textId="018F382F" w:rsidR="00C55169" w:rsidRPr="0014164C" w:rsidRDefault="00C55169" w:rsidP="00FB5204">
      <w:pPr>
        <w:pStyle w:val="ListParagraph"/>
        <w:numPr>
          <w:ilvl w:val="0"/>
          <w:numId w:val="20"/>
        </w:numPr>
        <w:spacing w:after="0" w:line="240" w:lineRule="auto"/>
        <w:contextualSpacing w:val="0"/>
        <w:rPr>
          <w:rFonts w:eastAsia="Times New Roman"/>
        </w:rPr>
      </w:pPr>
      <w:r w:rsidRPr="0014164C">
        <w:rPr>
          <w:rFonts w:asciiTheme="minorHAnsi" w:hAnsiTheme="minorHAnsi" w:cstheme="minorHAnsi"/>
        </w:rPr>
        <w:t>A</w:t>
      </w:r>
      <w:r w:rsidR="00CC7691" w:rsidRPr="0014164C">
        <w:rPr>
          <w:rFonts w:asciiTheme="minorHAnsi" w:hAnsiTheme="minorHAnsi" w:cstheme="minorHAnsi"/>
        </w:rPr>
        <w:t xml:space="preserve"> non-government, not-for-profit, community-based organization</w:t>
      </w:r>
      <w:r w:rsidR="001D6363" w:rsidRPr="0014164C">
        <w:rPr>
          <w:rFonts w:asciiTheme="minorHAnsi" w:hAnsiTheme="minorHAnsi" w:cstheme="minorHAnsi"/>
        </w:rPr>
        <w:t xml:space="preserve"> </w:t>
      </w:r>
    </w:p>
    <w:p w14:paraId="612B8C46" w14:textId="010AE1CF" w:rsidR="00CC7691" w:rsidRPr="00BA0925" w:rsidRDefault="00C55169" w:rsidP="001A15EE">
      <w:pPr>
        <w:pStyle w:val="ListParagraph"/>
        <w:numPr>
          <w:ilvl w:val="0"/>
          <w:numId w:val="20"/>
        </w:numPr>
        <w:spacing w:after="0" w:line="240" w:lineRule="auto"/>
        <w:contextualSpacing w:val="0"/>
        <w:rPr>
          <w:rFonts w:asciiTheme="minorHAnsi" w:eastAsia="Times New Roman" w:hAnsiTheme="minorHAnsi" w:cstheme="minorHAnsi"/>
          <w:b/>
          <w:bCs/>
          <w:lang w:eastAsia="en-CA"/>
        </w:rPr>
      </w:pPr>
      <w:r w:rsidRPr="00BA0925">
        <w:rPr>
          <w:rFonts w:eastAsia="Times New Roman"/>
        </w:rPr>
        <w:t>A First Nations,</w:t>
      </w:r>
      <w:r w:rsidR="00D72B6C" w:rsidRPr="00BA0925">
        <w:rPr>
          <w:rFonts w:asciiTheme="minorHAnsi" w:hAnsiTheme="minorHAnsi" w:cstheme="minorHAnsi"/>
          <w:shd w:val="clear" w:color="auto" w:fill="FFFFFF"/>
        </w:rPr>
        <w:t xml:space="preserve"> Métis</w:t>
      </w:r>
      <w:r w:rsidR="00D72B6C" w:rsidRPr="00BA0925">
        <w:rPr>
          <w:rFonts w:eastAsia="Times New Roman"/>
        </w:rPr>
        <w:t xml:space="preserve"> or</w:t>
      </w:r>
      <w:r w:rsidRPr="00BA0925">
        <w:rPr>
          <w:rFonts w:eastAsia="Times New Roman"/>
        </w:rPr>
        <w:t xml:space="preserve"> </w:t>
      </w:r>
      <w:r w:rsidR="00FB5204" w:rsidRPr="00BA0925">
        <w:rPr>
          <w:rFonts w:eastAsia="Times New Roman"/>
        </w:rPr>
        <w:t>Indigenous-led</w:t>
      </w:r>
      <w:r w:rsidRPr="00BA0925">
        <w:rPr>
          <w:rFonts w:eastAsia="Times New Roman"/>
        </w:rPr>
        <w:t xml:space="preserve"> agency</w:t>
      </w:r>
      <w:r w:rsidR="00FB5204" w:rsidRPr="00BA0925">
        <w:rPr>
          <w:rFonts w:eastAsia="Times New Roman"/>
        </w:rPr>
        <w:t xml:space="preserve"> or </w:t>
      </w:r>
      <w:r w:rsidRPr="00BA0925">
        <w:rPr>
          <w:rFonts w:eastAsia="Times New Roman"/>
        </w:rPr>
        <w:t>organization</w:t>
      </w:r>
      <w:r w:rsidR="00AF3CD4" w:rsidRPr="00BA0925">
        <w:rPr>
          <w:rFonts w:eastAsia="Times New Roman"/>
        </w:rPr>
        <w:t xml:space="preserve"> </w:t>
      </w:r>
    </w:p>
    <w:p w14:paraId="1985839D" w14:textId="77777777" w:rsidR="00BA0925" w:rsidRPr="00BA0925" w:rsidRDefault="00BA0925" w:rsidP="00BA0925">
      <w:pPr>
        <w:spacing w:after="0" w:line="240" w:lineRule="auto"/>
        <w:rPr>
          <w:rFonts w:eastAsia="Times New Roman" w:cstheme="minorHAnsi"/>
          <w:b/>
          <w:bCs/>
          <w:lang w:eastAsia="en-CA"/>
        </w:rPr>
      </w:pPr>
    </w:p>
    <w:p w14:paraId="5432F43F" w14:textId="50700F80" w:rsidR="00CC7691" w:rsidRPr="0014164C" w:rsidRDefault="00C55169" w:rsidP="00B01987">
      <w:r w:rsidRPr="0014164C">
        <w:rPr>
          <w:b/>
          <w:bCs/>
        </w:rPr>
        <w:t xml:space="preserve">Please note: </w:t>
      </w:r>
      <w:r w:rsidRPr="0014164C">
        <w:t xml:space="preserve">Government agencies, for-profit businesses, research institutions, school boards, and/or health authorities/health organizations that provide a direct primary care service cannot apply for funding through this call for </w:t>
      </w:r>
      <w:r w:rsidR="00576761" w:rsidRPr="0014164C">
        <w:t>proposals</w:t>
      </w:r>
      <w:r w:rsidRPr="0014164C">
        <w:t>.</w:t>
      </w:r>
    </w:p>
    <w:p w14:paraId="2C3F6845" w14:textId="55F58C10" w:rsidR="00B14124" w:rsidRPr="0014164C" w:rsidRDefault="00C55169" w:rsidP="00260CB5">
      <w:pPr>
        <w:pStyle w:val="NoSpacing"/>
        <w:numPr>
          <w:ilvl w:val="0"/>
          <w:numId w:val="1"/>
        </w:numPr>
        <w:ind w:left="360"/>
        <w:rPr>
          <w:rFonts w:asciiTheme="minorHAnsi" w:hAnsiTheme="minorHAnsi" w:cstheme="minorHAnsi"/>
        </w:rPr>
      </w:pPr>
      <w:r w:rsidRPr="0014164C">
        <w:rPr>
          <w:rFonts w:asciiTheme="minorHAnsi" w:hAnsiTheme="minorHAnsi" w:cstheme="minorHAnsi"/>
        </w:rPr>
        <w:t>Applicants</w:t>
      </w:r>
      <w:r w:rsidR="00CC7691" w:rsidRPr="0014164C">
        <w:rPr>
          <w:rFonts w:asciiTheme="minorHAnsi" w:hAnsiTheme="minorHAnsi" w:cstheme="minorHAnsi"/>
        </w:rPr>
        <w:t xml:space="preserve"> must have the appropriate experience,</w:t>
      </w:r>
      <w:r w:rsidR="001D6363" w:rsidRPr="0014164C">
        <w:rPr>
          <w:rFonts w:asciiTheme="minorHAnsi" w:hAnsiTheme="minorHAnsi" w:cstheme="minorHAnsi"/>
        </w:rPr>
        <w:t xml:space="preserve"> member </w:t>
      </w:r>
      <w:r w:rsidR="00CC7691" w:rsidRPr="0014164C">
        <w:rPr>
          <w:rFonts w:asciiTheme="minorHAnsi" w:hAnsiTheme="minorHAnsi" w:cstheme="minorHAnsi"/>
        </w:rPr>
        <w:t>capacity,</w:t>
      </w:r>
      <w:r w:rsidR="001D6363" w:rsidRPr="0014164C">
        <w:rPr>
          <w:rFonts w:asciiTheme="minorHAnsi" w:hAnsiTheme="minorHAnsi" w:cstheme="minorHAnsi"/>
        </w:rPr>
        <w:t xml:space="preserve"> </w:t>
      </w:r>
      <w:r w:rsidR="009F2BE1" w:rsidRPr="0014164C">
        <w:rPr>
          <w:rFonts w:asciiTheme="minorHAnsi" w:hAnsiTheme="minorHAnsi" w:cstheme="minorHAnsi"/>
        </w:rPr>
        <w:t xml:space="preserve">and </w:t>
      </w:r>
      <w:r w:rsidR="00CC7691" w:rsidRPr="0014164C">
        <w:rPr>
          <w:rFonts w:asciiTheme="minorHAnsi" w:hAnsiTheme="minorHAnsi" w:cstheme="minorHAnsi"/>
        </w:rPr>
        <w:t>resources to successfully implement the</w:t>
      </w:r>
      <w:r w:rsidR="001D6363" w:rsidRPr="0014164C">
        <w:rPr>
          <w:rFonts w:asciiTheme="minorHAnsi" w:hAnsiTheme="minorHAnsi" w:cstheme="minorHAnsi"/>
        </w:rPr>
        <w:t xml:space="preserve"> project</w:t>
      </w:r>
      <w:r w:rsidR="00CC7691" w:rsidRPr="0014164C">
        <w:rPr>
          <w:rFonts w:asciiTheme="minorHAnsi" w:hAnsiTheme="minorHAnsi" w:cstheme="minorHAnsi"/>
        </w:rPr>
        <w:t xml:space="preserve"> within the stated timelines. For this funding </w:t>
      </w:r>
      <w:r w:rsidR="00583B19" w:rsidRPr="0014164C">
        <w:rPr>
          <w:rFonts w:asciiTheme="minorHAnsi" w:hAnsiTheme="minorHAnsi" w:cstheme="minorHAnsi"/>
        </w:rPr>
        <w:t>opportunity</w:t>
      </w:r>
      <w:r w:rsidR="00CC7691" w:rsidRPr="0014164C">
        <w:rPr>
          <w:rFonts w:asciiTheme="minorHAnsi" w:hAnsiTheme="minorHAnsi" w:cstheme="minorHAnsi"/>
        </w:rPr>
        <w:t>, project extensions are not possible.</w:t>
      </w:r>
    </w:p>
    <w:p w14:paraId="44D1E902" w14:textId="77777777" w:rsidR="00CC7691" w:rsidRPr="0014164C" w:rsidRDefault="00CC7691" w:rsidP="00C83F76">
      <w:pPr>
        <w:pStyle w:val="NoSpacing"/>
        <w:rPr>
          <w:rFonts w:asciiTheme="minorHAnsi" w:hAnsiTheme="minorHAnsi" w:cstheme="minorHAnsi"/>
        </w:rPr>
      </w:pPr>
    </w:p>
    <w:p w14:paraId="22C3E67A" w14:textId="6FCE03F0" w:rsidR="0069025E" w:rsidRPr="0014164C" w:rsidRDefault="00CC7691" w:rsidP="00260CB5">
      <w:pPr>
        <w:pStyle w:val="NoSpacing"/>
        <w:numPr>
          <w:ilvl w:val="0"/>
          <w:numId w:val="1"/>
        </w:numPr>
        <w:ind w:left="360"/>
        <w:rPr>
          <w:rFonts w:asciiTheme="minorHAnsi" w:hAnsiTheme="minorHAnsi" w:cstheme="minorHAnsi"/>
        </w:rPr>
      </w:pPr>
      <w:r w:rsidRPr="0014164C">
        <w:rPr>
          <w:rFonts w:asciiTheme="minorHAnsi" w:hAnsiTheme="minorHAnsi" w:cstheme="minorHAnsi"/>
        </w:rPr>
        <w:t>Project activities must</w:t>
      </w:r>
      <w:r w:rsidR="00224B91" w:rsidRPr="0014164C">
        <w:rPr>
          <w:rFonts w:asciiTheme="minorHAnsi" w:hAnsiTheme="minorHAnsi" w:cstheme="minorHAnsi"/>
        </w:rPr>
        <w:t xml:space="preserve"> be related to </w:t>
      </w:r>
      <w:r w:rsidR="00FB5204">
        <w:rPr>
          <w:rFonts w:asciiTheme="minorHAnsi" w:hAnsiTheme="minorHAnsi" w:cstheme="minorHAnsi"/>
        </w:rPr>
        <w:t>overdose</w:t>
      </w:r>
      <w:r w:rsidR="00FB5204" w:rsidRPr="0014164C">
        <w:rPr>
          <w:rFonts w:asciiTheme="minorHAnsi" w:hAnsiTheme="minorHAnsi" w:cstheme="minorHAnsi"/>
        </w:rPr>
        <w:t xml:space="preserve"> </w:t>
      </w:r>
      <w:r w:rsidR="00224B91" w:rsidRPr="0014164C">
        <w:rPr>
          <w:rFonts w:asciiTheme="minorHAnsi" w:hAnsiTheme="minorHAnsi" w:cstheme="minorHAnsi"/>
        </w:rPr>
        <w:t xml:space="preserve">prevention </w:t>
      </w:r>
      <w:r w:rsidR="00FB5204">
        <w:rPr>
          <w:rFonts w:asciiTheme="minorHAnsi" w:hAnsiTheme="minorHAnsi" w:cstheme="minorHAnsi"/>
        </w:rPr>
        <w:t>and response</w:t>
      </w:r>
      <w:r w:rsidR="00D67642">
        <w:rPr>
          <w:rFonts w:asciiTheme="minorHAnsi" w:hAnsiTheme="minorHAnsi" w:cstheme="minorHAnsi"/>
        </w:rPr>
        <w:t xml:space="preserve"> and align with at least one item from the Overdose Emergency Response Centre’s Comprehensive Package of Interventions.</w:t>
      </w:r>
    </w:p>
    <w:p w14:paraId="0D474996" w14:textId="77777777" w:rsidR="00C87A03" w:rsidRPr="0014164C" w:rsidRDefault="00C87A03" w:rsidP="00C87A03">
      <w:pPr>
        <w:pStyle w:val="NoSpacing"/>
        <w:rPr>
          <w:rFonts w:asciiTheme="minorHAnsi" w:hAnsiTheme="minorHAnsi" w:cstheme="minorHAnsi"/>
        </w:rPr>
      </w:pPr>
    </w:p>
    <w:p w14:paraId="604353B3" w14:textId="3164C900" w:rsidR="0069025E" w:rsidRPr="0014164C" w:rsidRDefault="00C55169" w:rsidP="00260CB5">
      <w:pPr>
        <w:pStyle w:val="NoSpacing"/>
        <w:numPr>
          <w:ilvl w:val="0"/>
          <w:numId w:val="1"/>
        </w:numPr>
        <w:ind w:left="360"/>
        <w:rPr>
          <w:rFonts w:asciiTheme="minorHAnsi" w:hAnsiTheme="minorHAnsi" w:cstheme="minorHAnsi"/>
        </w:rPr>
      </w:pPr>
      <w:r w:rsidRPr="0014164C">
        <w:rPr>
          <w:rFonts w:asciiTheme="minorHAnsi" w:hAnsiTheme="minorHAnsi" w:cstheme="minorHAnsi"/>
        </w:rPr>
        <w:t>Proposed</w:t>
      </w:r>
      <w:r w:rsidR="00CC7691" w:rsidRPr="0014164C">
        <w:rPr>
          <w:rFonts w:asciiTheme="minorHAnsi" w:hAnsiTheme="minorHAnsi" w:cstheme="minorHAnsi"/>
          <w:spacing w:val="-9"/>
        </w:rPr>
        <w:t xml:space="preserve"> </w:t>
      </w:r>
      <w:r w:rsidR="00CC7691" w:rsidRPr="0014164C">
        <w:rPr>
          <w:rFonts w:asciiTheme="minorHAnsi" w:hAnsiTheme="minorHAnsi" w:cstheme="minorHAnsi"/>
        </w:rPr>
        <w:t>project</w:t>
      </w:r>
      <w:r w:rsidR="00CC7691" w:rsidRPr="0014164C">
        <w:rPr>
          <w:rFonts w:asciiTheme="minorHAnsi" w:hAnsiTheme="minorHAnsi" w:cstheme="minorHAnsi"/>
          <w:spacing w:val="-7"/>
        </w:rPr>
        <w:t xml:space="preserve"> </w:t>
      </w:r>
      <w:r w:rsidR="00CC7691" w:rsidRPr="0014164C">
        <w:rPr>
          <w:rFonts w:asciiTheme="minorHAnsi" w:hAnsiTheme="minorHAnsi" w:cstheme="minorHAnsi"/>
        </w:rPr>
        <w:t>activities</w:t>
      </w:r>
      <w:r w:rsidR="00CC7691" w:rsidRPr="0014164C">
        <w:rPr>
          <w:rFonts w:asciiTheme="minorHAnsi" w:hAnsiTheme="minorHAnsi" w:cstheme="minorHAnsi"/>
          <w:spacing w:val="-7"/>
        </w:rPr>
        <w:t xml:space="preserve"> </w:t>
      </w:r>
      <w:r w:rsidR="00CC7691" w:rsidRPr="0014164C">
        <w:rPr>
          <w:rFonts w:asciiTheme="minorHAnsi" w:hAnsiTheme="minorHAnsi" w:cstheme="minorHAnsi"/>
          <w:spacing w:val="-1"/>
        </w:rPr>
        <w:t>m</w:t>
      </w:r>
      <w:r w:rsidR="00CC7691" w:rsidRPr="0014164C">
        <w:rPr>
          <w:rFonts w:asciiTheme="minorHAnsi" w:hAnsiTheme="minorHAnsi" w:cstheme="minorHAnsi"/>
        </w:rPr>
        <w:t>ust</w:t>
      </w:r>
      <w:r w:rsidR="00CC7691" w:rsidRPr="0014164C">
        <w:rPr>
          <w:rFonts w:asciiTheme="minorHAnsi" w:hAnsiTheme="minorHAnsi" w:cstheme="minorHAnsi"/>
          <w:spacing w:val="-3"/>
        </w:rPr>
        <w:t xml:space="preserve"> </w:t>
      </w:r>
      <w:r w:rsidR="004A2181" w:rsidRPr="0014164C">
        <w:rPr>
          <w:rFonts w:asciiTheme="minorHAnsi" w:hAnsiTheme="minorHAnsi" w:cstheme="minorHAnsi"/>
          <w:spacing w:val="-3"/>
        </w:rPr>
        <w:t xml:space="preserve">demonstrate an awareness of the importance of </w:t>
      </w:r>
      <w:r w:rsidR="00F84F8E" w:rsidRPr="0014164C">
        <w:rPr>
          <w:rFonts w:asciiTheme="minorHAnsi" w:hAnsiTheme="minorHAnsi" w:cstheme="minorHAnsi"/>
          <w:spacing w:val="-3"/>
        </w:rPr>
        <w:t xml:space="preserve">diversity, inclusion and </w:t>
      </w:r>
      <w:r w:rsidR="004A2181" w:rsidRPr="0014164C">
        <w:rPr>
          <w:rFonts w:asciiTheme="minorHAnsi" w:hAnsiTheme="minorHAnsi" w:cstheme="minorHAnsi"/>
          <w:color w:val="000000"/>
          <w:shd w:val="clear" w:color="auto" w:fill="FFFFFF"/>
        </w:rPr>
        <w:t>cultural factors</w:t>
      </w:r>
      <w:r w:rsidR="00CC7691" w:rsidRPr="0014164C">
        <w:rPr>
          <w:rFonts w:asciiTheme="minorHAnsi" w:hAnsiTheme="minorHAnsi" w:cstheme="minorHAnsi"/>
        </w:rPr>
        <w:t>.</w:t>
      </w:r>
    </w:p>
    <w:p w14:paraId="3334B39A" w14:textId="77777777" w:rsidR="0069025E" w:rsidRPr="0014164C" w:rsidRDefault="0069025E" w:rsidP="0069025E">
      <w:pPr>
        <w:pStyle w:val="NoSpacing"/>
        <w:rPr>
          <w:rFonts w:asciiTheme="minorHAnsi" w:hAnsiTheme="minorHAnsi" w:cstheme="minorHAnsi"/>
        </w:rPr>
      </w:pPr>
    </w:p>
    <w:p w14:paraId="3243FFEB" w14:textId="77777777" w:rsidR="00224B91" w:rsidRPr="00B01987" w:rsidRDefault="0069025E" w:rsidP="00224B91">
      <w:pPr>
        <w:pStyle w:val="NoSpacing"/>
        <w:numPr>
          <w:ilvl w:val="0"/>
          <w:numId w:val="1"/>
        </w:numPr>
        <w:ind w:left="360"/>
        <w:rPr>
          <w:rFonts w:cstheme="minorHAnsi"/>
        </w:rPr>
      </w:pPr>
      <w:r w:rsidRPr="0014164C">
        <w:rPr>
          <w:rFonts w:asciiTheme="minorHAnsi" w:hAnsiTheme="minorHAnsi" w:cstheme="minorHAnsi"/>
        </w:rPr>
        <w:t xml:space="preserve">Proposals must include a clear and feasible strategy for reaching the intended population. </w:t>
      </w:r>
    </w:p>
    <w:p w14:paraId="463B49A4" w14:textId="77777777" w:rsidR="00B01987" w:rsidRPr="00FB5204" w:rsidRDefault="00B01987" w:rsidP="00B01987">
      <w:pPr>
        <w:pStyle w:val="NoSpacing"/>
        <w:rPr>
          <w:rFonts w:cstheme="minorHAnsi"/>
        </w:rPr>
      </w:pPr>
    </w:p>
    <w:p w14:paraId="76D78CA3" w14:textId="26CECA90" w:rsidR="00B01987" w:rsidRDefault="00B01987" w:rsidP="00B01987">
      <w:pPr>
        <w:pStyle w:val="NoSpacing"/>
        <w:numPr>
          <w:ilvl w:val="0"/>
          <w:numId w:val="1"/>
        </w:numPr>
        <w:ind w:left="360"/>
        <w:rPr>
          <w:rFonts w:asciiTheme="minorHAnsi" w:hAnsiTheme="minorHAnsi" w:cstheme="minorHAnsi"/>
        </w:rPr>
      </w:pPr>
      <w:r>
        <w:rPr>
          <w:rFonts w:asciiTheme="minorHAnsi" w:hAnsiTheme="minorHAnsi" w:cstheme="minorHAnsi"/>
        </w:rPr>
        <w:t>Successful applicants are responsible for keeping a record of project activities and impact</w:t>
      </w:r>
      <w:r w:rsidRPr="0014164C">
        <w:rPr>
          <w:rFonts w:asciiTheme="minorHAnsi" w:hAnsiTheme="minorHAnsi" w:cstheme="minorHAnsi"/>
        </w:rPr>
        <w:t>.</w:t>
      </w:r>
    </w:p>
    <w:p w14:paraId="315AF418" w14:textId="77777777" w:rsidR="00B01987" w:rsidRPr="0014164C" w:rsidRDefault="00B01987" w:rsidP="00B01987">
      <w:pPr>
        <w:pStyle w:val="NoSpacing"/>
        <w:rPr>
          <w:rFonts w:asciiTheme="minorHAnsi" w:hAnsiTheme="minorHAnsi" w:cstheme="minorHAnsi"/>
        </w:rPr>
      </w:pPr>
    </w:p>
    <w:p w14:paraId="33AAED5A" w14:textId="1CFD02A3" w:rsidR="00B01987" w:rsidRDefault="00B01987" w:rsidP="00B01987">
      <w:pPr>
        <w:pStyle w:val="NoSpacing"/>
        <w:numPr>
          <w:ilvl w:val="0"/>
          <w:numId w:val="1"/>
        </w:numPr>
        <w:ind w:left="360"/>
        <w:rPr>
          <w:rFonts w:asciiTheme="minorHAnsi" w:hAnsiTheme="minorHAnsi" w:cstheme="minorHAnsi"/>
        </w:rPr>
      </w:pPr>
      <w:r>
        <w:rPr>
          <w:rFonts w:asciiTheme="minorHAnsi" w:hAnsiTheme="minorHAnsi" w:cstheme="minorHAnsi"/>
        </w:rPr>
        <w:t xml:space="preserve">Applications </w:t>
      </w:r>
      <w:r w:rsidRPr="008703BA">
        <w:rPr>
          <w:rFonts w:cstheme="minorHAnsi"/>
        </w:rPr>
        <w:t>must include organizational financial statements</w:t>
      </w:r>
      <w:r w:rsidRPr="0014164C">
        <w:rPr>
          <w:rFonts w:asciiTheme="minorHAnsi" w:hAnsiTheme="minorHAnsi" w:cstheme="minorHAnsi"/>
        </w:rPr>
        <w:t>.</w:t>
      </w:r>
    </w:p>
    <w:p w14:paraId="7A3E6BD5" w14:textId="77777777" w:rsidR="00B01987" w:rsidRPr="0014164C" w:rsidRDefault="00B01987" w:rsidP="00B01987">
      <w:pPr>
        <w:pStyle w:val="NoSpacing"/>
        <w:rPr>
          <w:rFonts w:asciiTheme="minorHAnsi" w:hAnsiTheme="minorHAnsi" w:cstheme="minorHAnsi"/>
        </w:rPr>
      </w:pPr>
    </w:p>
    <w:p w14:paraId="4AAE03FD" w14:textId="0EC4391D" w:rsidR="00B01987" w:rsidRPr="00175694" w:rsidRDefault="00B01987" w:rsidP="00175694">
      <w:pPr>
        <w:pStyle w:val="NoSpacing"/>
        <w:numPr>
          <w:ilvl w:val="0"/>
          <w:numId w:val="1"/>
        </w:numPr>
        <w:ind w:left="360"/>
        <w:rPr>
          <w:rFonts w:asciiTheme="minorHAnsi" w:hAnsiTheme="minorHAnsi" w:cstheme="minorHAnsi"/>
        </w:rPr>
      </w:pPr>
      <w:r>
        <w:rPr>
          <w:rFonts w:asciiTheme="minorHAnsi" w:hAnsiTheme="minorHAnsi" w:cstheme="minorHAnsi"/>
        </w:rPr>
        <w:t xml:space="preserve">Applications </w:t>
      </w:r>
      <w:r w:rsidRPr="008703BA">
        <w:rPr>
          <w:rFonts w:cstheme="minorHAnsi"/>
        </w:rPr>
        <w:t>must</w:t>
      </w:r>
      <w:r w:rsidR="00843BD8">
        <w:rPr>
          <w:rFonts w:cstheme="minorHAnsi"/>
        </w:rPr>
        <w:t xml:space="preserve"> provide</w:t>
      </w:r>
      <w:r w:rsidRPr="008703BA">
        <w:rPr>
          <w:rFonts w:cstheme="minorHAnsi"/>
        </w:rPr>
        <w:t xml:space="preserve"> contact information f</w:t>
      </w:r>
      <w:r w:rsidR="00843BD8">
        <w:rPr>
          <w:rFonts w:cstheme="minorHAnsi"/>
        </w:rPr>
        <w:t>or</w:t>
      </w:r>
      <w:r w:rsidRPr="008703BA">
        <w:rPr>
          <w:rFonts w:cstheme="minorHAnsi"/>
        </w:rPr>
        <w:t xml:space="preserve"> </w:t>
      </w:r>
      <w:r w:rsidRPr="008703BA">
        <w:rPr>
          <w:rFonts w:cstheme="minorHAnsi"/>
          <w:u w:val="single"/>
        </w:rPr>
        <w:t>one reference</w:t>
      </w:r>
      <w:r w:rsidRPr="008703BA">
        <w:rPr>
          <w:rFonts w:cstheme="minorHAnsi"/>
        </w:rPr>
        <w:t xml:space="preserve"> from outside of the applicant organization (ensure the individual specified as a reference is aware </w:t>
      </w:r>
      <w:r w:rsidR="00BA0925">
        <w:rPr>
          <w:rFonts w:cstheme="minorHAnsi"/>
        </w:rPr>
        <w:t xml:space="preserve">that </w:t>
      </w:r>
      <w:r w:rsidRPr="008703BA">
        <w:rPr>
          <w:rFonts w:cstheme="minorHAnsi"/>
        </w:rPr>
        <w:t>they may be called upon</w:t>
      </w:r>
      <w:r w:rsidR="00843BD8">
        <w:rPr>
          <w:rFonts w:cstheme="minorHAnsi"/>
        </w:rPr>
        <w:t>)</w:t>
      </w:r>
      <w:r w:rsidRPr="0014164C">
        <w:rPr>
          <w:rFonts w:asciiTheme="minorHAnsi" w:hAnsiTheme="minorHAnsi" w:cstheme="minorHAnsi"/>
        </w:rPr>
        <w:t>.</w:t>
      </w:r>
      <w:r w:rsidRPr="00D02E10">
        <w:rPr>
          <w:rFonts w:cstheme="minorHAnsi"/>
        </w:rPr>
        <w:br w:type="page"/>
      </w:r>
    </w:p>
    <w:p w14:paraId="1673FA5C" w14:textId="6AC2C1AB" w:rsidR="0014164C" w:rsidRPr="00B01987" w:rsidRDefault="0014164C" w:rsidP="0014164C">
      <w:pPr>
        <w:spacing w:after="160" w:line="259" w:lineRule="auto"/>
        <w:rPr>
          <w:b/>
          <w:color w:val="018EA5"/>
          <w:sz w:val="32"/>
          <w:szCs w:val="32"/>
        </w:rPr>
      </w:pPr>
      <w:r w:rsidRPr="00B01987">
        <w:rPr>
          <w:b/>
          <w:color w:val="018EA5"/>
          <w:sz w:val="32"/>
          <w:szCs w:val="32"/>
        </w:rPr>
        <w:lastRenderedPageBreak/>
        <w:t>How to Apply</w:t>
      </w:r>
    </w:p>
    <w:p w14:paraId="6EDB79E2" w14:textId="7ED68DE4" w:rsidR="00BA0925" w:rsidRDefault="00BA0925" w:rsidP="00BA0925">
      <w:pPr>
        <w:widowControl/>
        <w:spacing w:after="160" w:line="259" w:lineRule="auto"/>
        <w:rPr>
          <w:rFonts w:cstheme="minorHAnsi"/>
          <w:b/>
        </w:rPr>
      </w:pPr>
      <w:r>
        <w:rPr>
          <w:rFonts w:cstheme="minorHAnsi"/>
          <w:b/>
        </w:rPr>
        <w:t>Submission Guidelines</w:t>
      </w:r>
    </w:p>
    <w:p w14:paraId="29BA9CAF" w14:textId="0497A4F7" w:rsidR="0014164C" w:rsidRPr="0014164C" w:rsidRDefault="0014164C" w:rsidP="0014164C">
      <w:pPr>
        <w:spacing w:after="0" w:line="240" w:lineRule="auto"/>
        <w:ind w:right="-59"/>
        <w:rPr>
          <w:rFonts w:eastAsia="Calibri" w:cstheme="minorHAnsi"/>
        </w:rPr>
      </w:pPr>
      <w:r w:rsidRPr="0014164C">
        <w:rPr>
          <w:rFonts w:eastAsia="Calibri" w:cstheme="minorHAnsi"/>
        </w:rPr>
        <w:t>To</w:t>
      </w:r>
      <w:r w:rsidRPr="0014164C">
        <w:rPr>
          <w:rFonts w:eastAsia="Calibri" w:cstheme="minorHAnsi"/>
          <w:spacing w:val="-2"/>
        </w:rPr>
        <w:t xml:space="preserve"> </w:t>
      </w:r>
      <w:r w:rsidRPr="0014164C">
        <w:rPr>
          <w:rFonts w:eastAsia="Calibri" w:cstheme="minorHAnsi"/>
        </w:rPr>
        <w:t>a</w:t>
      </w:r>
      <w:r w:rsidRPr="0014164C">
        <w:rPr>
          <w:rFonts w:eastAsia="Calibri" w:cstheme="minorHAnsi"/>
          <w:spacing w:val="1"/>
        </w:rPr>
        <w:t>v</w:t>
      </w:r>
      <w:r w:rsidRPr="0014164C">
        <w:rPr>
          <w:rFonts w:eastAsia="Calibri" w:cstheme="minorHAnsi"/>
        </w:rPr>
        <w:t>oid</w:t>
      </w:r>
      <w:r w:rsidRPr="0014164C">
        <w:rPr>
          <w:rFonts w:eastAsia="Calibri" w:cstheme="minorHAnsi"/>
          <w:spacing w:val="-5"/>
        </w:rPr>
        <w:t xml:space="preserve"> </w:t>
      </w:r>
      <w:r w:rsidRPr="0014164C">
        <w:rPr>
          <w:rFonts w:eastAsia="Calibri" w:cstheme="minorHAnsi"/>
          <w:spacing w:val="-1"/>
        </w:rPr>
        <w:t>p</w:t>
      </w:r>
      <w:r w:rsidRPr="0014164C">
        <w:rPr>
          <w:rFonts w:eastAsia="Calibri" w:cstheme="minorHAnsi"/>
        </w:rPr>
        <w:t>ot</w:t>
      </w:r>
      <w:r w:rsidRPr="0014164C">
        <w:rPr>
          <w:rFonts w:eastAsia="Calibri" w:cstheme="minorHAnsi"/>
          <w:spacing w:val="1"/>
        </w:rPr>
        <w:t>e</w:t>
      </w:r>
      <w:r w:rsidRPr="0014164C">
        <w:rPr>
          <w:rFonts w:eastAsia="Calibri" w:cstheme="minorHAnsi"/>
        </w:rPr>
        <w:t>ntial</w:t>
      </w:r>
      <w:r w:rsidRPr="0014164C">
        <w:rPr>
          <w:rFonts w:eastAsia="Calibri" w:cstheme="minorHAnsi"/>
          <w:spacing w:val="-8"/>
        </w:rPr>
        <w:t xml:space="preserve"> </w:t>
      </w:r>
      <w:r w:rsidRPr="0014164C">
        <w:rPr>
          <w:rFonts w:eastAsia="Calibri" w:cstheme="minorHAnsi"/>
        </w:rPr>
        <w:t>te</w:t>
      </w:r>
      <w:r w:rsidRPr="0014164C">
        <w:rPr>
          <w:rFonts w:eastAsia="Calibri" w:cstheme="minorHAnsi"/>
          <w:spacing w:val="1"/>
        </w:rPr>
        <w:t>c</w:t>
      </w:r>
      <w:r w:rsidRPr="0014164C">
        <w:rPr>
          <w:rFonts w:eastAsia="Calibri" w:cstheme="minorHAnsi"/>
        </w:rPr>
        <w:t>hni</w:t>
      </w:r>
      <w:r w:rsidRPr="0014164C">
        <w:rPr>
          <w:rFonts w:eastAsia="Calibri" w:cstheme="minorHAnsi"/>
          <w:spacing w:val="1"/>
        </w:rPr>
        <w:t>ca</w:t>
      </w:r>
      <w:r w:rsidRPr="0014164C">
        <w:rPr>
          <w:rFonts w:eastAsia="Calibri" w:cstheme="minorHAnsi"/>
        </w:rPr>
        <w:t>l</w:t>
      </w:r>
      <w:r w:rsidRPr="0014164C">
        <w:rPr>
          <w:rFonts w:eastAsia="Calibri" w:cstheme="minorHAnsi"/>
          <w:spacing w:val="-8"/>
        </w:rPr>
        <w:t xml:space="preserve"> </w:t>
      </w:r>
      <w:r w:rsidRPr="0014164C">
        <w:rPr>
          <w:rFonts w:eastAsia="Calibri" w:cstheme="minorHAnsi"/>
        </w:rPr>
        <w:t>d</w:t>
      </w:r>
      <w:r w:rsidRPr="0014164C">
        <w:rPr>
          <w:rFonts w:eastAsia="Calibri" w:cstheme="minorHAnsi"/>
          <w:spacing w:val="-1"/>
        </w:rPr>
        <w:t>i</w:t>
      </w:r>
      <w:r w:rsidRPr="0014164C">
        <w:rPr>
          <w:rFonts w:eastAsia="Calibri" w:cstheme="minorHAnsi"/>
        </w:rPr>
        <w:t>ffi</w:t>
      </w:r>
      <w:r w:rsidRPr="0014164C">
        <w:rPr>
          <w:rFonts w:eastAsia="Calibri" w:cstheme="minorHAnsi"/>
          <w:spacing w:val="1"/>
        </w:rPr>
        <w:t>c</w:t>
      </w:r>
      <w:r w:rsidRPr="0014164C">
        <w:rPr>
          <w:rFonts w:eastAsia="Calibri" w:cstheme="minorHAnsi"/>
        </w:rPr>
        <w:t>ult</w:t>
      </w:r>
      <w:r w:rsidRPr="0014164C">
        <w:rPr>
          <w:rFonts w:eastAsia="Calibri" w:cstheme="minorHAnsi"/>
          <w:spacing w:val="-1"/>
        </w:rPr>
        <w:t>i</w:t>
      </w:r>
      <w:r w:rsidRPr="0014164C">
        <w:rPr>
          <w:rFonts w:eastAsia="Calibri" w:cstheme="minorHAnsi"/>
        </w:rPr>
        <w:t>es,</w:t>
      </w:r>
      <w:r w:rsidRPr="0014164C">
        <w:rPr>
          <w:rFonts w:eastAsia="Calibri" w:cstheme="minorHAnsi"/>
          <w:spacing w:val="-9"/>
        </w:rPr>
        <w:t xml:space="preserve"> </w:t>
      </w:r>
      <w:r w:rsidRPr="0014164C">
        <w:rPr>
          <w:rFonts w:eastAsia="Calibri" w:cstheme="minorHAnsi"/>
        </w:rPr>
        <w:t>applica</w:t>
      </w:r>
      <w:r w:rsidRPr="0014164C">
        <w:rPr>
          <w:rFonts w:eastAsia="Calibri" w:cstheme="minorHAnsi"/>
          <w:spacing w:val="1"/>
        </w:rPr>
        <w:t>n</w:t>
      </w:r>
      <w:r w:rsidRPr="0014164C">
        <w:rPr>
          <w:rFonts w:eastAsia="Calibri" w:cstheme="minorHAnsi"/>
        </w:rPr>
        <w:t>ts</w:t>
      </w:r>
      <w:r w:rsidRPr="0014164C">
        <w:rPr>
          <w:rFonts w:eastAsia="Calibri" w:cstheme="minorHAnsi"/>
          <w:spacing w:val="-9"/>
        </w:rPr>
        <w:t xml:space="preserve"> </w:t>
      </w:r>
      <w:r w:rsidRPr="0014164C">
        <w:rPr>
          <w:rFonts w:eastAsia="Calibri" w:cstheme="minorHAnsi"/>
        </w:rPr>
        <w:t>a</w:t>
      </w:r>
      <w:r w:rsidRPr="0014164C">
        <w:rPr>
          <w:rFonts w:eastAsia="Calibri" w:cstheme="minorHAnsi"/>
          <w:spacing w:val="1"/>
        </w:rPr>
        <w:t>r</w:t>
      </w:r>
      <w:r w:rsidRPr="0014164C">
        <w:rPr>
          <w:rFonts w:eastAsia="Calibri" w:cstheme="minorHAnsi"/>
        </w:rPr>
        <w:t>e</w:t>
      </w:r>
      <w:r w:rsidRPr="0014164C">
        <w:rPr>
          <w:rFonts w:eastAsia="Calibri" w:cstheme="minorHAnsi"/>
          <w:spacing w:val="-3"/>
        </w:rPr>
        <w:t xml:space="preserve"> </w:t>
      </w:r>
      <w:r w:rsidRPr="0014164C">
        <w:rPr>
          <w:rFonts w:eastAsia="Calibri" w:cstheme="minorHAnsi"/>
        </w:rPr>
        <w:t>strongly</w:t>
      </w:r>
      <w:r w:rsidRPr="0014164C">
        <w:rPr>
          <w:rFonts w:eastAsia="Calibri" w:cstheme="minorHAnsi"/>
          <w:spacing w:val="-6"/>
        </w:rPr>
        <w:t xml:space="preserve"> </w:t>
      </w:r>
      <w:r w:rsidRPr="0014164C">
        <w:rPr>
          <w:rFonts w:eastAsia="Calibri" w:cstheme="minorHAnsi"/>
        </w:rPr>
        <w:t>ur</w:t>
      </w:r>
      <w:r w:rsidRPr="0014164C">
        <w:rPr>
          <w:rFonts w:eastAsia="Calibri" w:cstheme="minorHAnsi"/>
          <w:spacing w:val="1"/>
        </w:rPr>
        <w:t>g</w:t>
      </w:r>
      <w:r w:rsidRPr="0014164C">
        <w:rPr>
          <w:rFonts w:eastAsia="Calibri" w:cstheme="minorHAnsi"/>
        </w:rPr>
        <w:t>ed</w:t>
      </w:r>
      <w:r w:rsidRPr="0014164C">
        <w:rPr>
          <w:rFonts w:eastAsia="Calibri" w:cstheme="minorHAnsi"/>
          <w:spacing w:val="-6"/>
        </w:rPr>
        <w:t xml:space="preserve"> </w:t>
      </w:r>
      <w:r w:rsidRPr="0014164C">
        <w:rPr>
          <w:rFonts w:eastAsia="Calibri" w:cstheme="minorHAnsi"/>
        </w:rPr>
        <w:t>to</w:t>
      </w:r>
      <w:r w:rsidRPr="0014164C">
        <w:rPr>
          <w:rFonts w:eastAsia="Calibri" w:cstheme="minorHAnsi"/>
          <w:spacing w:val="-1"/>
        </w:rPr>
        <w:t xml:space="preserve"> c</w:t>
      </w:r>
      <w:r w:rsidRPr="0014164C">
        <w:rPr>
          <w:rFonts w:eastAsia="Calibri" w:cstheme="minorHAnsi"/>
        </w:rPr>
        <w:t>om</w:t>
      </w:r>
      <w:r w:rsidRPr="0014164C">
        <w:rPr>
          <w:rFonts w:eastAsia="Calibri" w:cstheme="minorHAnsi"/>
          <w:spacing w:val="1"/>
        </w:rPr>
        <w:t>p</w:t>
      </w:r>
      <w:r w:rsidRPr="0014164C">
        <w:rPr>
          <w:rFonts w:eastAsia="Calibri" w:cstheme="minorHAnsi"/>
        </w:rPr>
        <w:t>l</w:t>
      </w:r>
      <w:r w:rsidRPr="0014164C">
        <w:rPr>
          <w:rFonts w:eastAsia="Calibri" w:cstheme="minorHAnsi"/>
          <w:spacing w:val="1"/>
        </w:rPr>
        <w:t>e</w:t>
      </w:r>
      <w:r w:rsidRPr="0014164C">
        <w:rPr>
          <w:rFonts w:eastAsia="Calibri" w:cstheme="minorHAnsi"/>
        </w:rPr>
        <w:t>te</w:t>
      </w:r>
      <w:r w:rsidRPr="0014164C">
        <w:rPr>
          <w:rFonts w:eastAsia="Calibri" w:cstheme="minorHAnsi"/>
          <w:spacing w:val="-9"/>
        </w:rPr>
        <w:t xml:space="preserve"> </w:t>
      </w:r>
      <w:r w:rsidRPr="0014164C">
        <w:rPr>
          <w:rFonts w:eastAsia="Calibri" w:cstheme="minorHAnsi"/>
          <w:spacing w:val="1"/>
        </w:rPr>
        <w:t>t</w:t>
      </w:r>
      <w:r w:rsidRPr="0014164C">
        <w:rPr>
          <w:rFonts w:eastAsia="Calibri" w:cstheme="minorHAnsi"/>
        </w:rPr>
        <w:t>heir</w:t>
      </w:r>
      <w:r w:rsidRPr="0014164C">
        <w:rPr>
          <w:rFonts w:eastAsia="Calibri" w:cstheme="minorHAnsi"/>
          <w:spacing w:val="-4"/>
        </w:rPr>
        <w:t xml:space="preserve"> </w:t>
      </w:r>
      <w:r w:rsidRPr="0014164C">
        <w:rPr>
          <w:rFonts w:eastAsia="Calibri" w:cstheme="minorHAnsi"/>
        </w:rPr>
        <w:t>application at</w:t>
      </w:r>
      <w:r w:rsidRPr="0014164C">
        <w:rPr>
          <w:rFonts w:eastAsia="Calibri" w:cstheme="minorHAnsi"/>
          <w:spacing w:val="-2"/>
        </w:rPr>
        <w:t xml:space="preserve"> </w:t>
      </w:r>
      <w:r w:rsidRPr="0014164C">
        <w:rPr>
          <w:rFonts w:eastAsia="Calibri" w:cstheme="minorHAnsi"/>
        </w:rPr>
        <w:t xml:space="preserve">least </w:t>
      </w:r>
      <w:r w:rsidRPr="0014164C">
        <w:rPr>
          <w:rFonts w:eastAsia="Calibri" w:cstheme="minorHAnsi"/>
          <w:i/>
        </w:rPr>
        <w:t>three</w:t>
      </w:r>
      <w:r w:rsidRPr="0014164C">
        <w:rPr>
          <w:rFonts w:eastAsia="Calibri" w:cstheme="minorHAnsi"/>
          <w:i/>
          <w:spacing w:val="-5"/>
        </w:rPr>
        <w:t xml:space="preserve"> </w:t>
      </w:r>
      <w:r w:rsidRPr="00470D96">
        <w:rPr>
          <w:rFonts w:eastAsia="Calibri" w:cstheme="minorHAnsi"/>
          <w:i/>
          <w:color w:val="000000" w:themeColor="text1"/>
        </w:rPr>
        <w:t>da</w:t>
      </w:r>
      <w:r w:rsidRPr="00470D96">
        <w:rPr>
          <w:rFonts w:eastAsia="Calibri" w:cstheme="minorHAnsi"/>
          <w:i/>
          <w:color w:val="000000" w:themeColor="text1"/>
          <w:spacing w:val="1"/>
        </w:rPr>
        <w:t>y</w:t>
      </w:r>
      <w:r w:rsidRPr="00470D96">
        <w:rPr>
          <w:rFonts w:eastAsia="Calibri" w:cstheme="minorHAnsi"/>
          <w:i/>
          <w:color w:val="000000" w:themeColor="text1"/>
        </w:rPr>
        <w:t>s</w:t>
      </w:r>
      <w:r w:rsidRPr="00470D96">
        <w:rPr>
          <w:rFonts w:eastAsia="Calibri" w:cstheme="minorHAnsi"/>
          <w:color w:val="000000" w:themeColor="text1"/>
          <w:spacing w:val="-4"/>
        </w:rPr>
        <w:t xml:space="preserve"> </w:t>
      </w:r>
      <w:r w:rsidRPr="00470D96">
        <w:rPr>
          <w:rFonts w:eastAsia="Calibri" w:cstheme="minorHAnsi"/>
          <w:color w:val="000000" w:themeColor="text1"/>
        </w:rPr>
        <w:t>p</w:t>
      </w:r>
      <w:r w:rsidRPr="00470D96">
        <w:rPr>
          <w:rFonts w:eastAsia="Calibri" w:cstheme="minorHAnsi"/>
          <w:color w:val="000000" w:themeColor="text1"/>
          <w:spacing w:val="1"/>
        </w:rPr>
        <w:t>r</w:t>
      </w:r>
      <w:r w:rsidRPr="00470D96">
        <w:rPr>
          <w:rFonts w:eastAsia="Calibri" w:cstheme="minorHAnsi"/>
          <w:color w:val="000000" w:themeColor="text1"/>
        </w:rPr>
        <w:t>ior</w:t>
      </w:r>
      <w:r w:rsidRPr="00470D96">
        <w:rPr>
          <w:rFonts w:eastAsia="Calibri" w:cstheme="minorHAnsi"/>
          <w:color w:val="000000" w:themeColor="text1"/>
          <w:spacing w:val="-4"/>
        </w:rPr>
        <w:t xml:space="preserve"> </w:t>
      </w:r>
      <w:r w:rsidRPr="00470D96">
        <w:rPr>
          <w:rFonts w:eastAsia="Calibri" w:cstheme="minorHAnsi"/>
          <w:color w:val="000000" w:themeColor="text1"/>
          <w:spacing w:val="-1"/>
        </w:rPr>
        <w:t>t</w:t>
      </w:r>
      <w:r w:rsidRPr="00470D96">
        <w:rPr>
          <w:rFonts w:eastAsia="Calibri" w:cstheme="minorHAnsi"/>
          <w:color w:val="000000" w:themeColor="text1"/>
        </w:rPr>
        <w:t>o</w:t>
      </w:r>
      <w:r w:rsidRPr="00470D96">
        <w:rPr>
          <w:rFonts w:eastAsia="Calibri" w:cstheme="minorHAnsi"/>
          <w:color w:val="000000" w:themeColor="text1"/>
          <w:spacing w:val="-1"/>
        </w:rPr>
        <w:t xml:space="preserve"> </w:t>
      </w:r>
      <w:r w:rsidRPr="00470D96">
        <w:rPr>
          <w:rFonts w:eastAsia="Calibri" w:cstheme="minorHAnsi"/>
          <w:color w:val="000000" w:themeColor="text1"/>
          <w:spacing w:val="1"/>
        </w:rPr>
        <w:t>deadline</w:t>
      </w:r>
      <w:r w:rsidRPr="00470D96">
        <w:rPr>
          <w:rFonts w:eastAsia="Calibri" w:cstheme="minorHAnsi"/>
          <w:color w:val="000000" w:themeColor="text1"/>
        </w:rPr>
        <w:t xml:space="preserve">. The </w:t>
      </w:r>
      <w:r w:rsidR="00470D96" w:rsidRPr="00470D96">
        <w:rPr>
          <w:rFonts w:cstheme="minorHAnsi"/>
          <w:color w:val="000000" w:themeColor="text1"/>
        </w:rPr>
        <w:t xml:space="preserve">January </w:t>
      </w:r>
      <w:r w:rsidR="0070289D">
        <w:rPr>
          <w:rFonts w:cstheme="minorHAnsi"/>
          <w:color w:val="000000" w:themeColor="text1"/>
        </w:rPr>
        <w:t>22</w:t>
      </w:r>
      <w:r w:rsidR="00470D96" w:rsidRPr="00470D96">
        <w:rPr>
          <w:rFonts w:cstheme="minorHAnsi"/>
          <w:color w:val="000000" w:themeColor="text1"/>
        </w:rPr>
        <w:t xml:space="preserve">, 2021 </w:t>
      </w:r>
      <w:r w:rsidRPr="00470D96">
        <w:rPr>
          <w:rFonts w:eastAsia="Calibri" w:cstheme="minorHAnsi"/>
          <w:color w:val="000000" w:themeColor="text1"/>
          <w:spacing w:val="1"/>
        </w:rPr>
        <w:t>deadline</w:t>
      </w:r>
      <w:r w:rsidRPr="00470D96">
        <w:rPr>
          <w:rFonts w:eastAsia="Calibri" w:cstheme="minorHAnsi"/>
          <w:color w:val="000000" w:themeColor="text1"/>
          <w:spacing w:val="-5"/>
        </w:rPr>
        <w:t xml:space="preserve"> </w:t>
      </w:r>
      <w:r w:rsidRPr="00470D96">
        <w:rPr>
          <w:rFonts w:eastAsia="Calibri" w:cstheme="minorHAnsi"/>
          <w:color w:val="000000" w:themeColor="text1"/>
        </w:rPr>
        <w:t>for</w:t>
      </w:r>
      <w:r w:rsidRPr="00470D96">
        <w:rPr>
          <w:rFonts w:eastAsia="Calibri" w:cstheme="minorHAnsi"/>
          <w:color w:val="000000" w:themeColor="text1"/>
          <w:spacing w:val="-3"/>
        </w:rPr>
        <w:t xml:space="preserve"> </w:t>
      </w:r>
      <w:r w:rsidRPr="00470D96">
        <w:rPr>
          <w:rFonts w:eastAsia="Calibri" w:cstheme="minorHAnsi"/>
          <w:color w:val="000000" w:themeColor="text1"/>
        </w:rPr>
        <w:t>appl</w:t>
      </w:r>
      <w:r w:rsidRPr="00470D96">
        <w:rPr>
          <w:rFonts w:eastAsia="Calibri" w:cstheme="minorHAnsi"/>
          <w:color w:val="000000" w:themeColor="text1"/>
          <w:spacing w:val="1"/>
        </w:rPr>
        <w:t>i</w:t>
      </w:r>
      <w:r w:rsidRPr="00470D96">
        <w:rPr>
          <w:rFonts w:eastAsia="Calibri" w:cstheme="minorHAnsi"/>
          <w:color w:val="000000" w:themeColor="text1"/>
        </w:rPr>
        <w:t>cati</w:t>
      </w:r>
      <w:r w:rsidRPr="00470D96">
        <w:rPr>
          <w:rFonts w:eastAsia="Calibri" w:cstheme="minorHAnsi"/>
          <w:color w:val="000000" w:themeColor="text1"/>
          <w:spacing w:val="1"/>
        </w:rPr>
        <w:t>o</w:t>
      </w:r>
      <w:r w:rsidRPr="00470D96">
        <w:rPr>
          <w:rFonts w:eastAsia="Calibri" w:cstheme="minorHAnsi"/>
          <w:color w:val="000000" w:themeColor="text1"/>
        </w:rPr>
        <w:t>ns</w:t>
      </w:r>
      <w:r w:rsidRPr="00470D96">
        <w:rPr>
          <w:rFonts w:eastAsia="Calibri" w:cstheme="minorHAnsi"/>
          <w:color w:val="000000" w:themeColor="text1"/>
          <w:spacing w:val="-11"/>
        </w:rPr>
        <w:t xml:space="preserve"> </w:t>
      </w:r>
      <w:r w:rsidRPr="00470D96">
        <w:rPr>
          <w:rFonts w:eastAsia="Calibri" w:cstheme="minorHAnsi"/>
          <w:color w:val="000000" w:themeColor="text1"/>
        </w:rPr>
        <w:t>is</w:t>
      </w:r>
      <w:r w:rsidRPr="00470D96">
        <w:rPr>
          <w:rFonts w:eastAsia="Calibri" w:cstheme="minorHAnsi"/>
          <w:color w:val="000000" w:themeColor="text1"/>
          <w:spacing w:val="-1"/>
        </w:rPr>
        <w:t xml:space="preserve"> </w:t>
      </w:r>
      <w:r w:rsidRPr="00470D96">
        <w:rPr>
          <w:rFonts w:eastAsia="Calibri" w:cstheme="minorHAnsi"/>
          <w:b/>
          <w:bCs/>
          <w:color w:val="000000" w:themeColor="text1"/>
          <w:u w:val="thick" w:color="000000"/>
        </w:rPr>
        <w:t>FIRM</w:t>
      </w:r>
      <w:r w:rsidRPr="00470D96">
        <w:rPr>
          <w:rFonts w:eastAsia="Calibri" w:cstheme="minorHAnsi"/>
          <w:bCs/>
          <w:color w:val="000000" w:themeColor="text1"/>
        </w:rPr>
        <w:t xml:space="preserve">. </w:t>
      </w:r>
      <w:r w:rsidRPr="00470D96">
        <w:rPr>
          <w:rFonts w:eastAsia="Calibri" w:cstheme="minorHAnsi"/>
          <w:color w:val="000000" w:themeColor="text1"/>
        </w:rPr>
        <w:t>Irrespective</w:t>
      </w:r>
      <w:r w:rsidRPr="00470D96">
        <w:rPr>
          <w:rFonts w:eastAsia="Calibri" w:cstheme="minorHAnsi"/>
          <w:color w:val="000000" w:themeColor="text1"/>
          <w:spacing w:val="-10"/>
        </w:rPr>
        <w:t xml:space="preserve"> </w:t>
      </w:r>
      <w:r w:rsidRPr="00470D96">
        <w:rPr>
          <w:rFonts w:eastAsia="Calibri" w:cstheme="minorHAnsi"/>
          <w:color w:val="000000" w:themeColor="text1"/>
          <w:spacing w:val="1"/>
        </w:rPr>
        <w:t>o</w:t>
      </w:r>
      <w:r w:rsidRPr="00470D96">
        <w:rPr>
          <w:rFonts w:eastAsia="Calibri" w:cstheme="minorHAnsi"/>
          <w:color w:val="000000" w:themeColor="text1"/>
        </w:rPr>
        <w:t>f</w:t>
      </w:r>
      <w:r w:rsidRPr="00470D96">
        <w:rPr>
          <w:rFonts w:eastAsia="Calibri" w:cstheme="minorHAnsi"/>
          <w:color w:val="000000" w:themeColor="text1"/>
          <w:spacing w:val="-2"/>
        </w:rPr>
        <w:t xml:space="preserve"> </w:t>
      </w:r>
      <w:r w:rsidRPr="00470D96">
        <w:rPr>
          <w:rFonts w:eastAsia="Calibri" w:cstheme="minorHAnsi"/>
          <w:color w:val="000000" w:themeColor="text1"/>
        </w:rPr>
        <w:t>techn</w:t>
      </w:r>
      <w:r w:rsidRPr="00470D96">
        <w:rPr>
          <w:rFonts w:eastAsia="Calibri" w:cstheme="minorHAnsi"/>
          <w:color w:val="000000" w:themeColor="text1"/>
          <w:spacing w:val="1"/>
        </w:rPr>
        <w:t>i</w:t>
      </w:r>
      <w:r w:rsidRPr="00470D96">
        <w:rPr>
          <w:rFonts w:eastAsia="Calibri" w:cstheme="minorHAnsi"/>
          <w:color w:val="000000" w:themeColor="text1"/>
        </w:rPr>
        <w:t>cal</w:t>
      </w:r>
      <w:r w:rsidRPr="00470D96">
        <w:rPr>
          <w:rFonts w:eastAsia="Calibri" w:cstheme="minorHAnsi"/>
          <w:color w:val="000000" w:themeColor="text1"/>
          <w:spacing w:val="-8"/>
        </w:rPr>
        <w:t xml:space="preserve"> </w:t>
      </w:r>
      <w:r w:rsidRPr="00470D96">
        <w:rPr>
          <w:rFonts w:eastAsia="Calibri" w:cstheme="minorHAnsi"/>
          <w:color w:val="000000" w:themeColor="text1"/>
          <w:spacing w:val="-1"/>
        </w:rPr>
        <w:t>d</w:t>
      </w:r>
      <w:r w:rsidRPr="00470D96">
        <w:rPr>
          <w:rFonts w:eastAsia="Calibri" w:cstheme="minorHAnsi"/>
          <w:color w:val="000000" w:themeColor="text1"/>
        </w:rPr>
        <w:t>i</w:t>
      </w:r>
      <w:r w:rsidRPr="00470D96">
        <w:rPr>
          <w:rFonts w:eastAsia="Calibri" w:cstheme="minorHAnsi"/>
          <w:color w:val="000000" w:themeColor="text1"/>
          <w:spacing w:val="1"/>
        </w:rPr>
        <w:t>f</w:t>
      </w:r>
      <w:r w:rsidRPr="00470D96">
        <w:rPr>
          <w:rFonts w:eastAsia="Calibri" w:cstheme="minorHAnsi"/>
          <w:color w:val="000000" w:themeColor="text1"/>
        </w:rPr>
        <w:t>ficul</w:t>
      </w:r>
      <w:r w:rsidRPr="00470D96">
        <w:rPr>
          <w:rFonts w:eastAsia="Calibri" w:cstheme="minorHAnsi"/>
          <w:color w:val="000000" w:themeColor="text1"/>
          <w:spacing w:val="-1"/>
        </w:rPr>
        <w:t>t</w:t>
      </w:r>
      <w:r w:rsidRPr="00470D96">
        <w:rPr>
          <w:rFonts w:eastAsia="Calibri" w:cstheme="minorHAnsi"/>
          <w:color w:val="000000" w:themeColor="text1"/>
          <w:spacing w:val="1"/>
        </w:rPr>
        <w:t>i</w:t>
      </w:r>
      <w:r w:rsidRPr="00470D96">
        <w:rPr>
          <w:rFonts w:eastAsia="Calibri" w:cstheme="minorHAnsi"/>
          <w:color w:val="000000" w:themeColor="text1"/>
        </w:rPr>
        <w:t>es,</w:t>
      </w:r>
      <w:r w:rsidRPr="00470D96">
        <w:rPr>
          <w:rFonts w:eastAsia="Calibri" w:cstheme="minorHAnsi"/>
          <w:color w:val="000000" w:themeColor="text1"/>
          <w:spacing w:val="-8"/>
        </w:rPr>
        <w:t xml:space="preserve"> </w:t>
      </w:r>
      <w:r w:rsidRPr="0014164C">
        <w:rPr>
          <w:rFonts w:eastAsia="Calibri" w:cstheme="minorHAnsi"/>
          <w:spacing w:val="-8"/>
        </w:rPr>
        <w:t xml:space="preserve">completed </w:t>
      </w:r>
      <w:r w:rsidRPr="0014164C">
        <w:rPr>
          <w:rFonts w:eastAsia="Calibri" w:cstheme="minorHAnsi"/>
        </w:rPr>
        <w:t>applications</w:t>
      </w:r>
      <w:r w:rsidRPr="0014164C">
        <w:rPr>
          <w:rFonts w:eastAsia="Calibri" w:cstheme="minorHAnsi"/>
          <w:spacing w:val="-9"/>
        </w:rPr>
        <w:t xml:space="preserve"> </w:t>
      </w:r>
      <w:r w:rsidRPr="0014164C">
        <w:rPr>
          <w:rFonts w:eastAsia="Calibri" w:cstheme="minorHAnsi"/>
        </w:rPr>
        <w:t>must</w:t>
      </w:r>
      <w:r w:rsidRPr="0014164C">
        <w:rPr>
          <w:rFonts w:eastAsia="Calibri" w:cstheme="minorHAnsi"/>
          <w:spacing w:val="-4"/>
        </w:rPr>
        <w:t xml:space="preserve"> </w:t>
      </w:r>
      <w:r w:rsidRPr="0014164C">
        <w:rPr>
          <w:rFonts w:eastAsia="Calibri" w:cstheme="minorHAnsi"/>
          <w:spacing w:val="-1"/>
        </w:rPr>
        <w:t>b</w:t>
      </w:r>
      <w:r w:rsidRPr="0014164C">
        <w:rPr>
          <w:rFonts w:eastAsia="Calibri" w:cstheme="minorHAnsi"/>
        </w:rPr>
        <w:t>e</w:t>
      </w:r>
      <w:r w:rsidRPr="0014164C">
        <w:rPr>
          <w:rFonts w:eastAsia="Calibri" w:cstheme="minorHAnsi"/>
          <w:spacing w:val="-1"/>
        </w:rPr>
        <w:t xml:space="preserve"> </w:t>
      </w:r>
      <w:r w:rsidRPr="0014164C">
        <w:rPr>
          <w:rFonts w:eastAsia="Calibri" w:cstheme="minorHAnsi"/>
        </w:rPr>
        <w:t>re</w:t>
      </w:r>
      <w:r w:rsidRPr="0014164C">
        <w:rPr>
          <w:rFonts w:eastAsia="Calibri" w:cstheme="minorHAnsi"/>
          <w:spacing w:val="-1"/>
        </w:rPr>
        <w:t>c</w:t>
      </w:r>
      <w:r w:rsidRPr="0014164C">
        <w:rPr>
          <w:rFonts w:eastAsia="Calibri" w:cstheme="minorHAnsi"/>
        </w:rPr>
        <w:t>eiv</w:t>
      </w:r>
      <w:r w:rsidRPr="0014164C">
        <w:rPr>
          <w:rFonts w:eastAsia="Calibri" w:cstheme="minorHAnsi"/>
          <w:spacing w:val="1"/>
        </w:rPr>
        <w:t>e</w:t>
      </w:r>
      <w:r w:rsidRPr="0014164C">
        <w:rPr>
          <w:rFonts w:eastAsia="Calibri" w:cstheme="minorHAnsi"/>
        </w:rPr>
        <w:t>d</w:t>
      </w:r>
      <w:r w:rsidRPr="0014164C">
        <w:rPr>
          <w:rFonts w:eastAsia="Calibri" w:cstheme="minorHAnsi"/>
          <w:spacing w:val="-8"/>
        </w:rPr>
        <w:t xml:space="preserve"> </w:t>
      </w:r>
      <w:r w:rsidRPr="0014164C">
        <w:rPr>
          <w:rFonts w:eastAsia="Calibri" w:cstheme="minorHAnsi"/>
        </w:rPr>
        <w:t>by</w:t>
      </w:r>
      <w:r w:rsidRPr="0014164C">
        <w:rPr>
          <w:rFonts w:eastAsia="Calibri" w:cstheme="minorHAnsi"/>
          <w:spacing w:val="-1"/>
        </w:rPr>
        <w:t xml:space="preserve"> </w:t>
      </w:r>
      <w:r w:rsidRPr="0014164C">
        <w:rPr>
          <w:rFonts w:eastAsia="Calibri" w:cstheme="minorHAnsi"/>
        </w:rPr>
        <w:t>CAI</w:t>
      </w:r>
      <w:r w:rsidRPr="0014164C">
        <w:rPr>
          <w:rFonts w:eastAsia="Calibri" w:cstheme="minorHAnsi"/>
          <w:spacing w:val="-3"/>
        </w:rPr>
        <w:t xml:space="preserve"> </w:t>
      </w:r>
      <w:r w:rsidRPr="0014164C">
        <w:rPr>
          <w:rFonts w:eastAsia="Calibri" w:cstheme="minorHAnsi"/>
        </w:rPr>
        <w:t>by</w:t>
      </w:r>
      <w:r w:rsidRPr="0014164C">
        <w:rPr>
          <w:rFonts w:eastAsia="Calibri" w:cstheme="minorHAnsi"/>
          <w:spacing w:val="2"/>
        </w:rPr>
        <w:t xml:space="preserve"> </w:t>
      </w:r>
      <w:r w:rsidRPr="0014164C">
        <w:rPr>
          <w:rFonts w:eastAsia="Calibri" w:cstheme="minorHAnsi"/>
        </w:rPr>
        <w:t>the</w:t>
      </w:r>
      <w:r w:rsidRPr="0014164C">
        <w:rPr>
          <w:rFonts w:eastAsia="Calibri" w:cstheme="minorHAnsi"/>
          <w:spacing w:val="-3"/>
        </w:rPr>
        <w:t xml:space="preserve"> </w:t>
      </w:r>
      <w:r w:rsidRPr="0014164C">
        <w:rPr>
          <w:rFonts w:eastAsia="Calibri" w:cstheme="minorHAnsi"/>
        </w:rPr>
        <w:t>d</w:t>
      </w:r>
      <w:r w:rsidRPr="0014164C">
        <w:rPr>
          <w:rFonts w:eastAsia="Calibri" w:cstheme="minorHAnsi"/>
          <w:spacing w:val="1"/>
        </w:rPr>
        <w:t>e</w:t>
      </w:r>
      <w:r w:rsidRPr="0014164C">
        <w:rPr>
          <w:rFonts w:eastAsia="Calibri" w:cstheme="minorHAnsi"/>
        </w:rPr>
        <w:t xml:space="preserve">adline.  </w:t>
      </w:r>
    </w:p>
    <w:p w14:paraId="7719A410" w14:textId="77777777" w:rsidR="0014164C" w:rsidRPr="00C70FA9" w:rsidRDefault="0014164C" w:rsidP="0014164C">
      <w:pPr>
        <w:spacing w:after="0" w:line="240" w:lineRule="auto"/>
        <w:ind w:right="386"/>
        <w:jc w:val="both"/>
        <w:rPr>
          <w:rFonts w:ascii="Calibri" w:eastAsia="Calibri" w:hAnsi="Calibri" w:cs="Calibri"/>
        </w:rPr>
      </w:pPr>
    </w:p>
    <w:p w14:paraId="2DB7E663" w14:textId="77777777" w:rsidR="0014164C" w:rsidRPr="0014164C" w:rsidRDefault="0014164C" w:rsidP="0014164C">
      <w:pPr>
        <w:spacing w:after="0" w:line="240" w:lineRule="auto"/>
        <w:ind w:right="386"/>
        <w:jc w:val="both"/>
        <w:rPr>
          <w:rFonts w:ascii="Calibri" w:eastAsia="Calibri" w:hAnsi="Calibri" w:cs="Calibri"/>
        </w:rPr>
      </w:pPr>
      <w:r w:rsidRPr="006C2B74">
        <w:rPr>
          <w:rFonts w:ascii="Calibri" w:eastAsia="Calibri" w:hAnsi="Calibri" w:cs="Calibri"/>
        </w:rPr>
        <w:t>Re</w:t>
      </w:r>
      <w:r w:rsidRPr="006C2B74">
        <w:rPr>
          <w:rFonts w:ascii="Calibri" w:eastAsia="Calibri" w:hAnsi="Calibri" w:cs="Calibri"/>
          <w:spacing w:val="-1"/>
        </w:rPr>
        <w:t>c</w:t>
      </w:r>
      <w:r w:rsidRPr="006C2B74">
        <w:rPr>
          <w:rFonts w:ascii="Calibri" w:eastAsia="Calibri" w:hAnsi="Calibri" w:cs="Calibri"/>
          <w:spacing w:val="1"/>
        </w:rPr>
        <w:t>e</w:t>
      </w:r>
      <w:r w:rsidRPr="006C2B74">
        <w:rPr>
          <w:rFonts w:ascii="Calibri" w:eastAsia="Calibri" w:hAnsi="Calibri" w:cs="Calibri"/>
        </w:rPr>
        <w:t>ipt</w:t>
      </w:r>
      <w:r w:rsidRPr="006C2B74">
        <w:rPr>
          <w:rFonts w:ascii="Calibri" w:eastAsia="Calibri" w:hAnsi="Calibri" w:cs="Calibri"/>
          <w:spacing w:val="-7"/>
        </w:rPr>
        <w:t xml:space="preserve"> </w:t>
      </w:r>
      <w:r w:rsidRPr="006C2B74">
        <w:rPr>
          <w:rFonts w:ascii="Calibri" w:eastAsia="Calibri" w:hAnsi="Calibri" w:cs="Calibri"/>
          <w:spacing w:val="1"/>
        </w:rPr>
        <w:t>o</w:t>
      </w:r>
      <w:r w:rsidRPr="006C2B74">
        <w:rPr>
          <w:rFonts w:ascii="Calibri" w:eastAsia="Calibri" w:hAnsi="Calibri" w:cs="Calibri"/>
        </w:rPr>
        <w:t>f</w:t>
      </w:r>
      <w:r w:rsidRPr="006C2B74">
        <w:rPr>
          <w:rFonts w:ascii="Calibri" w:eastAsia="Calibri" w:hAnsi="Calibri" w:cs="Calibri"/>
          <w:spacing w:val="-2"/>
        </w:rPr>
        <w:t xml:space="preserve"> </w:t>
      </w:r>
      <w:r w:rsidRPr="006C2B74">
        <w:rPr>
          <w:rFonts w:ascii="Calibri" w:eastAsia="Calibri" w:hAnsi="Calibri" w:cs="Calibri"/>
        </w:rPr>
        <w:t>y</w:t>
      </w:r>
      <w:r w:rsidRPr="0014164C">
        <w:rPr>
          <w:rFonts w:ascii="Calibri" w:eastAsia="Calibri" w:hAnsi="Calibri" w:cs="Calibri"/>
          <w:spacing w:val="1"/>
        </w:rPr>
        <w:t>o</w:t>
      </w:r>
      <w:r w:rsidRPr="0014164C">
        <w:rPr>
          <w:rFonts w:ascii="Calibri" w:eastAsia="Calibri" w:hAnsi="Calibri" w:cs="Calibri"/>
        </w:rPr>
        <w:t>ur</w:t>
      </w:r>
      <w:r w:rsidRPr="0014164C">
        <w:rPr>
          <w:rFonts w:ascii="Calibri" w:eastAsia="Calibri" w:hAnsi="Calibri" w:cs="Calibri"/>
          <w:spacing w:val="-4"/>
        </w:rPr>
        <w:t xml:space="preserve"> </w:t>
      </w:r>
      <w:r w:rsidRPr="0014164C">
        <w:rPr>
          <w:rFonts w:ascii="Calibri" w:eastAsia="Calibri" w:hAnsi="Calibri" w:cs="Calibri"/>
        </w:rPr>
        <w:t>full</w:t>
      </w:r>
      <w:r w:rsidRPr="0014164C">
        <w:rPr>
          <w:rFonts w:ascii="Calibri" w:eastAsia="Calibri" w:hAnsi="Calibri" w:cs="Calibri"/>
          <w:spacing w:val="-3"/>
        </w:rPr>
        <w:t xml:space="preserve"> </w:t>
      </w:r>
      <w:r w:rsidRPr="0014164C">
        <w:rPr>
          <w:rFonts w:ascii="Calibri" w:eastAsia="Calibri" w:hAnsi="Calibri" w:cs="Calibri"/>
        </w:rPr>
        <w:t>appl</w:t>
      </w:r>
      <w:r w:rsidRPr="0014164C">
        <w:rPr>
          <w:rFonts w:ascii="Calibri" w:eastAsia="Calibri" w:hAnsi="Calibri" w:cs="Calibri"/>
          <w:spacing w:val="1"/>
        </w:rPr>
        <w:t>i</w:t>
      </w:r>
      <w:r w:rsidRPr="0014164C">
        <w:rPr>
          <w:rFonts w:ascii="Calibri" w:eastAsia="Calibri" w:hAnsi="Calibri" w:cs="Calibri"/>
        </w:rPr>
        <w:t>cation</w:t>
      </w:r>
      <w:r w:rsidRPr="0014164C">
        <w:rPr>
          <w:rFonts w:ascii="Calibri" w:eastAsia="Calibri" w:hAnsi="Calibri" w:cs="Calibri"/>
          <w:spacing w:val="-10"/>
        </w:rPr>
        <w:t xml:space="preserve"> </w:t>
      </w:r>
      <w:r w:rsidRPr="0014164C">
        <w:rPr>
          <w:rFonts w:ascii="Calibri" w:eastAsia="Calibri" w:hAnsi="Calibri" w:cs="Calibri"/>
        </w:rPr>
        <w:t>will</w:t>
      </w:r>
      <w:r w:rsidRPr="0014164C">
        <w:rPr>
          <w:rFonts w:ascii="Calibri" w:eastAsia="Calibri" w:hAnsi="Calibri" w:cs="Calibri"/>
          <w:spacing w:val="-2"/>
        </w:rPr>
        <w:t xml:space="preserve"> </w:t>
      </w:r>
      <w:r w:rsidRPr="0014164C">
        <w:rPr>
          <w:rFonts w:ascii="Calibri" w:eastAsia="Calibri" w:hAnsi="Calibri" w:cs="Calibri"/>
        </w:rPr>
        <w:t>be</w:t>
      </w:r>
      <w:r w:rsidRPr="0014164C">
        <w:rPr>
          <w:rFonts w:ascii="Calibri" w:eastAsia="Calibri" w:hAnsi="Calibri" w:cs="Calibri"/>
          <w:spacing w:val="-2"/>
        </w:rPr>
        <w:t xml:space="preserve"> </w:t>
      </w:r>
      <w:r w:rsidRPr="0014164C">
        <w:rPr>
          <w:rFonts w:ascii="Calibri" w:eastAsia="Calibri" w:hAnsi="Calibri" w:cs="Calibri"/>
        </w:rPr>
        <w:t>acknowl</w:t>
      </w:r>
      <w:r w:rsidRPr="0014164C">
        <w:rPr>
          <w:rFonts w:ascii="Calibri" w:eastAsia="Calibri" w:hAnsi="Calibri" w:cs="Calibri"/>
          <w:spacing w:val="1"/>
        </w:rPr>
        <w:t>e</w:t>
      </w:r>
      <w:r w:rsidRPr="0014164C">
        <w:rPr>
          <w:rFonts w:ascii="Calibri" w:eastAsia="Calibri" w:hAnsi="Calibri" w:cs="Calibri"/>
        </w:rPr>
        <w:t>dged</w:t>
      </w:r>
      <w:r w:rsidRPr="0014164C">
        <w:rPr>
          <w:rFonts w:ascii="Calibri" w:eastAsia="Calibri" w:hAnsi="Calibri" w:cs="Calibri"/>
          <w:spacing w:val="-13"/>
        </w:rPr>
        <w:t xml:space="preserve"> </w:t>
      </w:r>
      <w:r w:rsidRPr="0014164C">
        <w:rPr>
          <w:rFonts w:ascii="Calibri" w:eastAsia="Calibri" w:hAnsi="Calibri" w:cs="Calibri"/>
        </w:rPr>
        <w:t>by</w:t>
      </w:r>
      <w:r w:rsidRPr="0014164C">
        <w:rPr>
          <w:rFonts w:ascii="Calibri" w:eastAsia="Calibri" w:hAnsi="Calibri" w:cs="Calibri"/>
          <w:spacing w:val="-2"/>
        </w:rPr>
        <w:t xml:space="preserve"> an automatic </w:t>
      </w:r>
      <w:r w:rsidRPr="0014164C">
        <w:rPr>
          <w:rFonts w:ascii="Calibri" w:eastAsia="Calibri" w:hAnsi="Calibri" w:cs="Calibri"/>
          <w:spacing w:val="1"/>
        </w:rPr>
        <w:t>e-</w:t>
      </w:r>
      <w:r w:rsidRPr="0014164C">
        <w:rPr>
          <w:rFonts w:ascii="Calibri" w:eastAsia="Calibri" w:hAnsi="Calibri" w:cs="Calibri"/>
        </w:rPr>
        <w:t>mai</w:t>
      </w:r>
      <w:r w:rsidRPr="0014164C">
        <w:rPr>
          <w:rFonts w:ascii="Calibri" w:eastAsia="Calibri" w:hAnsi="Calibri" w:cs="Calibri"/>
          <w:spacing w:val="1"/>
        </w:rPr>
        <w:t>l</w:t>
      </w:r>
      <w:r w:rsidRPr="0014164C">
        <w:rPr>
          <w:rFonts w:ascii="Calibri" w:eastAsia="Calibri" w:hAnsi="Calibri" w:cs="Calibri"/>
        </w:rPr>
        <w:t>.</w:t>
      </w:r>
    </w:p>
    <w:p w14:paraId="030E1F16" w14:textId="77777777" w:rsidR="0014164C" w:rsidRPr="0014164C" w:rsidRDefault="0014164C" w:rsidP="0014164C">
      <w:pPr>
        <w:spacing w:after="0" w:line="240" w:lineRule="auto"/>
        <w:ind w:right="386"/>
        <w:rPr>
          <w:rFonts w:eastAsia="Calibri" w:cstheme="minorHAnsi"/>
        </w:rPr>
      </w:pPr>
    </w:p>
    <w:p w14:paraId="4FCB4E88" w14:textId="77777777" w:rsidR="0014164C" w:rsidRPr="0014164C" w:rsidRDefault="0014164C" w:rsidP="0014164C">
      <w:pPr>
        <w:spacing w:before="59" w:after="0" w:line="240" w:lineRule="auto"/>
        <w:ind w:right="-59"/>
        <w:jc w:val="center"/>
        <w:rPr>
          <w:rFonts w:eastAsia="Calibri" w:cstheme="minorHAnsi"/>
          <w:b/>
          <w:lang w:val="en-CA"/>
        </w:rPr>
      </w:pPr>
      <w:r w:rsidRPr="0014164C">
        <w:rPr>
          <w:rFonts w:eastAsia="Calibri" w:cstheme="minorHAnsi"/>
          <w:i/>
          <w:lang w:val="en-CA"/>
        </w:rPr>
        <w:t>It is the responsibility of the applicant to consult the CAI website and/or Grant Manager for clarification and updates concerning submission requirements.</w:t>
      </w:r>
    </w:p>
    <w:p w14:paraId="7A585FFA" w14:textId="77777777" w:rsidR="0014164C" w:rsidRPr="0014164C" w:rsidRDefault="0014164C" w:rsidP="0014164C">
      <w:pPr>
        <w:spacing w:after="160" w:line="259" w:lineRule="auto"/>
        <w:rPr>
          <w:sz w:val="24"/>
          <w:szCs w:val="24"/>
        </w:rPr>
      </w:pPr>
    </w:p>
    <w:p w14:paraId="3AE51EBF" w14:textId="77777777" w:rsidR="0043427C" w:rsidRPr="0014164C" w:rsidRDefault="0043427C" w:rsidP="0014164C">
      <w:pPr>
        <w:pBdr>
          <w:top w:val="single" w:sz="4" w:space="1" w:color="auto"/>
          <w:left w:val="single" w:sz="4" w:space="4" w:color="auto"/>
          <w:bottom w:val="single" w:sz="4" w:space="8" w:color="auto"/>
          <w:right w:val="single" w:sz="4" w:space="4" w:color="auto"/>
        </w:pBdr>
        <w:spacing w:after="0" w:line="336" w:lineRule="exact"/>
        <w:ind w:left="-397" w:right="-397"/>
        <w:jc w:val="center"/>
        <w:rPr>
          <w:rFonts w:ascii="Calibri" w:eastAsia="Calibri" w:hAnsi="Calibri" w:cs="Calibri"/>
        </w:rPr>
      </w:pPr>
    </w:p>
    <w:p w14:paraId="02D94B26" w14:textId="77777777" w:rsidR="0043427C" w:rsidRPr="0014164C" w:rsidRDefault="0043427C" w:rsidP="0014164C">
      <w:pPr>
        <w:pBdr>
          <w:top w:val="single" w:sz="4" w:space="1" w:color="auto"/>
          <w:left w:val="single" w:sz="4" w:space="4" w:color="auto"/>
          <w:bottom w:val="single" w:sz="4" w:space="8" w:color="auto"/>
          <w:right w:val="single" w:sz="4" w:space="4" w:color="auto"/>
        </w:pBdr>
        <w:spacing w:after="0" w:line="336" w:lineRule="exact"/>
        <w:ind w:left="-397" w:right="-397"/>
        <w:jc w:val="center"/>
        <w:rPr>
          <w:rFonts w:ascii="Calibri" w:eastAsia="Calibri" w:hAnsi="Calibri" w:cs="Calibri"/>
        </w:rPr>
      </w:pPr>
      <w:r w:rsidRPr="0014164C">
        <w:rPr>
          <w:rFonts w:ascii="Calibri" w:eastAsia="Calibri" w:hAnsi="Calibri" w:cs="Calibri"/>
        </w:rPr>
        <w:t xml:space="preserve">Applications must be completed through the CAI Online Grant System and </w:t>
      </w:r>
    </w:p>
    <w:p w14:paraId="6524A866" w14:textId="55120F77" w:rsidR="0043427C" w:rsidRPr="0014164C" w:rsidRDefault="0043427C" w:rsidP="0014164C">
      <w:pPr>
        <w:pBdr>
          <w:top w:val="single" w:sz="4" w:space="1" w:color="auto"/>
          <w:left w:val="single" w:sz="4" w:space="4" w:color="auto"/>
          <w:bottom w:val="single" w:sz="4" w:space="8" w:color="auto"/>
          <w:right w:val="single" w:sz="4" w:space="4" w:color="auto"/>
        </w:pBdr>
        <w:spacing w:after="0" w:line="336" w:lineRule="exact"/>
        <w:ind w:left="-397" w:right="-397"/>
        <w:jc w:val="center"/>
        <w:rPr>
          <w:rFonts w:ascii="Calibri" w:eastAsia="Calibri" w:hAnsi="Calibri" w:cs="Calibri"/>
          <w:b/>
          <w:bCs/>
          <w:w w:val="99"/>
        </w:rPr>
      </w:pPr>
      <w:r w:rsidRPr="0014164C">
        <w:rPr>
          <w:rFonts w:ascii="Calibri" w:eastAsia="Calibri" w:hAnsi="Calibri" w:cs="Calibri"/>
        </w:rPr>
        <w:t>are due by</w:t>
      </w:r>
      <w:r w:rsidRPr="0014164C">
        <w:rPr>
          <w:rFonts w:ascii="Calibri" w:eastAsia="Calibri" w:hAnsi="Calibri" w:cs="Calibri"/>
          <w:spacing w:val="-4"/>
        </w:rPr>
        <w:t xml:space="preserve"> </w:t>
      </w:r>
      <w:r w:rsidRPr="0014164C">
        <w:rPr>
          <w:rFonts w:ascii="Calibri" w:eastAsia="Calibri" w:hAnsi="Calibri" w:cs="Calibri"/>
          <w:b/>
          <w:bCs/>
          <w:spacing w:val="1"/>
        </w:rPr>
        <w:t>5</w:t>
      </w:r>
      <w:r w:rsidRPr="0014164C">
        <w:rPr>
          <w:rFonts w:ascii="Calibri" w:eastAsia="Calibri" w:hAnsi="Calibri" w:cs="Calibri"/>
          <w:b/>
          <w:bCs/>
        </w:rPr>
        <w:t xml:space="preserve">:00 pm (Pacific Time) </w:t>
      </w:r>
      <w:r w:rsidR="00470D96">
        <w:rPr>
          <w:rFonts w:ascii="Calibri" w:eastAsia="Calibri" w:hAnsi="Calibri" w:cs="Calibri"/>
          <w:b/>
          <w:bCs/>
        </w:rPr>
        <w:t xml:space="preserve">January </w:t>
      </w:r>
      <w:r w:rsidR="0070289D">
        <w:rPr>
          <w:rFonts w:ascii="Calibri" w:eastAsia="Calibri" w:hAnsi="Calibri" w:cs="Calibri"/>
          <w:b/>
          <w:bCs/>
        </w:rPr>
        <w:t>22</w:t>
      </w:r>
      <w:r w:rsidR="00470D96">
        <w:rPr>
          <w:rFonts w:ascii="Calibri" w:eastAsia="Calibri" w:hAnsi="Calibri" w:cs="Calibri"/>
          <w:b/>
          <w:bCs/>
        </w:rPr>
        <w:t>, 2021</w:t>
      </w:r>
    </w:p>
    <w:p w14:paraId="4A5D48B8" w14:textId="2548B2E4" w:rsidR="0043427C" w:rsidRPr="006C2B74" w:rsidRDefault="0043427C" w:rsidP="0014164C">
      <w:pPr>
        <w:pBdr>
          <w:top w:val="single" w:sz="4" w:space="1" w:color="auto"/>
          <w:left w:val="single" w:sz="4" w:space="4" w:color="auto"/>
          <w:bottom w:val="single" w:sz="4" w:space="8" w:color="auto"/>
          <w:right w:val="single" w:sz="4" w:space="4" w:color="auto"/>
        </w:pBdr>
        <w:spacing w:after="0" w:line="336" w:lineRule="exact"/>
        <w:ind w:left="-397" w:right="-397"/>
        <w:jc w:val="center"/>
        <w:rPr>
          <w:rFonts w:ascii="Calibri" w:eastAsia="Calibri" w:hAnsi="Calibri" w:cs="Calibri"/>
          <w:b/>
          <w:bCs/>
          <w:u w:val="thick" w:color="000000"/>
        </w:rPr>
      </w:pPr>
      <w:r w:rsidRPr="00C70FA9">
        <w:rPr>
          <w:rFonts w:ascii="Calibri" w:eastAsia="Calibri" w:hAnsi="Calibri" w:cs="Calibri"/>
          <w:b/>
          <w:bCs/>
          <w:u w:val="thick" w:color="000000"/>
        </w:rPr>
        <w:t xml:space="preserve">This deadline is FIRM. Applications submitted after 5:00 pm on </w:t>
      </w:r>
      <w:r w:rsidR="00470D96">
        <w:rPr>
          <w:rFonts w:ascii="Calibri" w:eastAsia="Calibri" w:hAnsi="Calibri" w:cs="Calibri"/>
          <w:b/>
          <w:bCs/>
          <w:u w:val="thick" w:color="000000"/>
        </w:rPr>
        <w:t xml:space="preserve">January </w:t>
      </w:r>
      <w:r w:rsidR="0070289D">
        <w:rPr>
          <w:rFonts w:ascii="Calibri" w:eastAsia="Calibri" w:hAnsi="Calibri" w:cs="Calibri"/>
          <w:b/>
          <w:bCs/>
          <w:u w:val="thick" w:color="000000"/>
        </w:rPr>
        <w:t>22</w:t>
      </w:r>
      <w:r w:rsidR="00224B91" w:rsidRPr="006C2B74">
        <w:rPr>
          <w:rFonts w:ascii="Calibri" w:eastAsia="Calibri" w:hAnsi="Calibri" w:cs="Calibri"/>
          <w:b/>
          <w:bCs/>
          <w:u w:val="thick" w:color="000000"/>
        </w:rPr>
        <w:t xml:space="preserve"> </w:t>
      </w:r>
      <w:r w:rsidRPr="006C2B74">
        <w:rPr>
          <w:rFonts w:ascii="Calibri" w:eastAsia="Calibri" w:hAnsi="Calibri" w:cs="Calibri"/>
          <w:b/>
          <w:bCs/>
          <w:u w:val="thick" w:color="000000"/>
        </w:rPr>
        <w:t>will not be accepted.</w:t>
      </w:r>
    </w:p>
    <w:p w14:paraId="77BB8864" w14:textId="77777777" w:rsidR="0043427C" w:rsidRPr="0014164C" w:rsidRDefault="0043427C" w:rsidP="0014164C">
      <w:pPr>
        <w:pBdr>
          <w:top w:val="single" w:sz="4" w:space="1" w:color="auto"/>
          <w:left w:val="single" w:sz="4" w:space="4" w:color="auto"/>
          <w:bottom w:val="single" w:sz="4" w:space="8" w:color="auto"/>
          <w:right w:val="single" w:sz="4" w:space="4" w:color="auto"/>
        </w:pBdr>
        <w:spacing w:after="0" w:line="336" w:lineRule="exact"/>
        <w:ind w:left="-397" w:right="-397"/>
        <w:jc w:val="center"/>
        <w:rPr>
          <w:rFonts w:ascii="Calibri" w:eastAsia="Calibri" w:hAnsi="Calibri" w:cs="Calibri"/>
          <w:b/>
          <w:bCs/>
          <w:w w:val="99"/>
        </w:rPr>
      </w:pPr>
    </w:p>
    <w:p w14:paraId="4423518E" w14:textId="799C3385" w:rsidR="00313F37" w:rsidRPr="0014164C" w:rsidRDefault="00313F37" w:rsidP="003E7ADC">
      <w:pPr>
        <w:spacing w:after="0" w:line="240" w:lineRule="auto"/>
        <w:ind w:right="-59"/>
        <w:rPr>
          <w:rFonts w:eastAsia="Calibri" w:cstheme="minorHAnsi"/>
        </w:rPr>
      </w:pPr>
    </w:p>
    <w:p w14:paraId="33893BCB" w14:textId="6F732BBD" w:rsidR="00CC7691" w:rsidRPr="0014164C" w:rsidRDefault="00CC7691" w:rsidP="003E7ADC">
      <w:pPr>
        <w:spacing w:after="0" w:line="240" w:lineRule="auto"/>
        <w:ind w:right="386"/>
        <w:rPr>
          <w:rFonts w:eastAsia="Calibri" w:cstheme="minorHAnsi"/>
        </w:rPr>
      </w:pPr>
    </w:p>
    <w:p w14:paraId="3061F29D" w14:textId="77777777" w:rsidR="00235426" w:rsidRPr="0014164C" w:rsidRDefault="00235426" w:rsidP="003E7ADC">
      <w:pPr>
        <w:spacing w:after="0" w:line="240" w:lineRule="auto"/>
        <w:ind w:right="386"/>
        <w:rPr>
          <w:rFonts w:eastAsia="Calibri" w:cstheme="minorHAnsi"/>
        </w:rPr>
      </w:pPr>
    </w:p>
    <w:p w14:paraId="0B22F439" w14:textId="068D6800" w:rsidR="000B3C9B" w:rsidRPr="0014164C" w:rsidRDefault="00CC7691" w:rsidP="000B3C9B">
      <w:pPr>
        <w:shd w:val="clear" w:color="auto" w:fill="FFFFFF"/>
        <w:spacing w:after="0" w:line="240" w:lineRule="auto"/>
        <w:textAlignment w:val="baseline"/>
        <w:rPr>
          <w:rFonts w:ascii="Helvetica" w:eastAsia="Times New Roman" w:hAnsi="Helvetica" w:cs="Helvetica"/>
          <w:color w:val="666666"/>
          <w:lang w:val="en-CA" w:eastAsia="en-CA"/>
        </w:rPr>
      </w:pPr>
      <w:r w:rsidRPr="0014164C">
        <w:rPr>
          <w:rFonts w:eastAsia="Calibri" w:cstheme="minorHAnsi"/>
          <w:b/>
          <w:spacing w:val="-9"/>
        </w:rPr>
        <w:t>Technical Difficulties</w:t>
      </w:r>
      <w:r w:rsidR="003F3063" w:rsidRPr="0014164C">
        <w:rPr>
          <w:rFonts w:eastAsia="Calibri" w:cstheme="minorHAnsi"/>
          <w:spacing w:val="-9"/>
        </w:rPr>
        <w:t xml:space="preserve">: </w:t>
      </w:r>
      <w:r w:rsidRPr="0014164C">
        <w:rPr>
          <w:rFonts w:eastAsia="Calibri" w:cstheme="minorHAnsi"/>
        </w:rPr>
        <w:t>If</w:t>
      </w:r>
      <w:r w:rsidRPr="0014164C">
        <w:rPr>
          <w:rFonts w:eastAsia="Calibri" w:cstheme="minorHAnsi"/>
          <w:spacing w:val="-7"/>
        </w:rPr>
        <w:t xml:space="preserve"> </w:t>
      </w:r>
      <w:r w:rsidRPr="0014164C">
        <w:rPr>
          <w:rFonts w:eastAsia="Calibri" w:cstheme="minorHAnsi"/>
        </w:rPr>
        <w:t>you</w:t>
      </w:r>
      <w:r w:rsidRPr="0014164C">
        <w:rPr>
          <w:rFonts w:eastAsia="Calibri" w:cstheme="minorHAnsi"/>
          <w:spacing w:val="-3"/>
        </w:rPr>
        <w:t xml:space="preserve"> </w:t>
      </w:r>
      <w:r w:rsidRPr="0014164C">
        <w:rPr>
          <w:rFonts w:eastAsia="Calibri" w:cstheme="minorHAnsi"/>
        </w:rPr>
        <w:t>are</w:t>
      </w:r>
      <w:r w:rsidRPr="0014164C">
        <w:rPr>
          <w:rFonts w:eastAsia="Calibri" w:cstheme="minorHAnsi"/>
          <w:spacing w:val="-2"/>
        </w:rPr>
        <w:t xml:space="preserve"> </w:t>
      </w:r>
      <w:r w:rsidRPr="0014164C">
        <w:rPr>
          <w:rFonts w:eastAsia="Calibri" w:cstheme="minorHAnsi"/>
        </w:rPr>
        <w:t>unable</w:t>
      </w:r>
      <w:r w:rsidRPr="0014164C">
        <w:rPr>
          <w:rFonts w:eastAsia="Calibri" w:cstheme="minorHAnsi"/>
          <w:spacing w:val="-5"/>
        </w:rPr>
        <w:t xml:space="preserve"> </w:t>
      </w:r>
      <w:r w:rsidRPr="0014164C">
        <w:rPr>
          <w:rFonts w:eastAsia="Calibri" w:cstheme="minorHAnsi"/>
          <w:spacing w:val="-1"/>
        </w:rPr>
        <w:t>t</w:t>
      </w:r>
      <w:r w:rsidRPr="0014164C">
        <w:rPr>
          <w:rFonts w:eastAsia="Calibri" w:cstheme="minorHAnsi"/>
        </w:rPr>
        <w:t>o</w:t>
      </w:r>
      <w:r w:rsidRPr="0014164C">
        <w:rPr>
          <w:rFonts w:eastAsia="Calibri" w:cstheme="minorHAnsi"/>
          <w:spacing w:val="-1"/>
        </w:rPr>
        <w:t xml:space="preserve"> </w:t>
      </w:r>
      <w:r w:rsidRPr="0014164C">
        <w:rPr>
          <w:rFonts w:eastAsia="Calibri" w:cstheme="minorHAnsi"/>
        </w:rPr>
        <w:t>complete</w:t>
      </w:r>
      <w:r w:rsidRPr="0014164C">
        <w:rPr>
          <w:rFonts w:eastAsia="Calibri" w:cstheme="minorHAnsi"/>
          <w:spacing w:val="-7"/>
        </w:rPr>
        <w:t xml:space="preserve"> </w:t>
      </w:r>
      <w:r w:rsidRPr="0014164C">
        <w:rPr>
          <w:rFonts w:eastAsia="Calibri" w:cstheme="minorHAnsi"/>
        </w:rPr>
        <w:t>the</w:t>
      </w:r>
      <w:r w:rsidRPr="0014164C">
        <w:rPr>
          <w:rFonts w:eastAsia="Calibri" w:cstheme="minorHAnsi"/>
          <w:spacing w:val="-1"/>
        </w:rPr>
        <w:t xml:space="preserve"> </w:t>
      </w:r>
      <w:r w:rsidR="004F3B4E" w:rsidRPr="0014164C">
        <w:rPr>
          <w:rFonts w:eastAsia="Calibri" w:cstheme="minorHAnsi"/>
          <w:spacing w:val="-1"/>
        </w:rPr>
        <w:t xml:space="preserve">application </w:t>
      </w:r>
      <w:r w:rsidRPr="0014164C">
        <w:rPr>
          <w:rFonts w:eastAsia="Calibri" w:cstheme="minorHAnsi"/>
        </w:rPr>
        <w:t>f</w:t>
      </w:r>
      <w:r w:rsidRPr="0014164C">
        <w:rPr>
          <w:rFonts w:eastAsia="Calibri" w:cstheme="minorHAnsi"/>
          <w:spacing w:val="1"/>
        </w:rPr>
        <w:t>o</w:t>
      </w:r>
      <w:r w:rsidRPr="0014164C">
        <w:rPr>
          <w:rFonts w:eastAsia="Calibri" w:cstheme="minorHAnsi"/>
        </w:rPr>
        <w:t>rm</w:t>
      </w:r>
      <w:r w:rsidRPr="0014164C">
        <w:rPr>
          <w:rFonts w:eastAsia="Calibri" w:cstheme="minorHAnsi"/>
          <w:spacing w:val="-4"/>
        </w:rPr>
        <w:t xml:space="preserve"> </w:t>
      </w:r>
      <w:r w:rsidRPr="0014164C">
        <w:rPr>
          <w:rFonts w:eastAsia="Calibri" w:cstheme="minorHAnsi"/>
        </w:rPr>
        <w:t>for any reason,</w:t>
      </w:r>
      <w:r w:rsidRPr="0014164C">
        <w:rPr>
          <w:rFonts w:eastAsia="Calibri" w:cstheme="minorHAnsi"/>
          <w:spacing w:val="-5"/>
        </w:rPr>
        <w:t xml:space="preserve"> </w:t>
      </w:r>
      <w:r w:rsidRPr="0014164C">
        <w:rPr>
          <w:rFonts w:eastAsia="Calibri" w:cstheme="minorHAnsi"/>
        </w:rPr>
        <w:t>ple</w:t>
      </w:r>
      <w:r w:rsidRPr="0014164C">
        <w:rPr>
          <w:rFonts w:eastAsia="Calibri" w:cstheme="minorHAnsi"/>
          <w:spacing w:val="1"/>
        </w:rPr>
        <w:t>a</w:t>
      </w:r>
      <w:r w:rsidRPr="0014164C">
        <w:rPr>
          <w:rFonts w:eastAsia="Calibri" w:cstheme="minorHAnsi"/>
        </w:rPr>
        <w:t>se</w:t>
      </w:r>
      <w:r w:rsidRPr="0014164C">
        <w:rPr>
          <w:rFonts w:eastAsia="Calibri" w:cstheme="minorHAnsi"/>
          <w:spacing w:val="-6"/>
        </w:rPr>
        <w:t xml:space="preserve"> </w:t>
      </w:r>
      <w:r w:rsidRPr="0014164C">
        <w:rPr>
          <w:rFonts w:eastAsia="Calibri" w:cstheme="minorHAnsi"/>
        </w:rPr>
        <w:t>cont</w:t>
      </w:r>
      <w:r w:rsidRPr="0014164C">
        <w:rPr>
          <w:rFonts w:eastAsia="Calibri" w:cstheme="minorHAnsi"/>
          <w:spacing w:val="1"/>
        </w:rPr>
        <w:t>a</w:t>
      </w:r>
      <w:r w:rsidRPr="0014164C">
        <w:rPr>
          <w:rFonts w:eastAsia="Calibri" w:cstheme="minorHAnsi"/>
        </w:rPr>
        <w:t>ct</w:t>
      </w:r>
      <w:r w:rsidR="000B3C9B" w:rsidRPr="0014164C">
        <w:rPr>
          <w:rFonts w:eastAsia="Calibri" w:cstheme="minorHAnsi"/>
        </w:rPr>
        <w:t xml:space="preserve"> </w:t>
      </w:r>
      <w:r w:rsidR="00470D96">
        <w:rPr>
          <w:rFonts w:eastAsia="Calibri" w:cstheme="minorHAnsi"/>
        </w:rPr>
        <w:t xml:space="preserve">Dakota </w:t>
      </w:r>
      <w:proofErr w:type="spellStart"/>
      <w:r w:rsidR="00470D96">
        <w:rPr>
          <w:rFonts w:eastAsia="Calibri" w:cstheme="minorHAnsi"/>
        </w:rPr>
        <w:t>Fayant</w:t>
      </w:r>
      <w:proofErr w:type="spellEnd"/>
      <w:r w:rsidR="00470D96">
        <w:rPr>
          <w:rFonts w:eastAsia="Calibri" w:cstheme="minorHAnsi"/>
        </w:rPr>
        <w:t xml:space="preserve"> at </w:t>
      </w:r>
      <w:hyperlink r:id="rId9" w:history="1">
        <w:r w:rsidR="00470D96" w:rsidRPr="00483892">
          <w:rPr>
            <w:rStyle w:val="Hyperlink"/>
            <w:rFonts w:eastAsia="Calibri" w:cstheme="minorHAnsi"/>
          </w:rPr>
          <w:t>dfayant@caibc.ca</w:t>
        </w:r>
      </w:hyperlink>
      <w:r w:rsidR="00470D96">
        <w:rPr>
          <w:rFonts w:eastAsia="Calibri" w:cstheme="minorHAnsi"/>
        </w:rPr>
        <w:t xml:space="preserve">. </w:t>
      </w:r>
      <w:r w:rsidR="000B3C9B" w:rsidRPr="0014164C">
        <w:rPr>
          <w:rFonts w:ascii="Helvetica" w:eastAsia="Times New Roman" w:hAnsi="Helvetica" w:cs="Helvetica"/>
          <w:color w:val="666666"/>
          <w:lang w:val="en-CA" w:eastAsia="en-CA"/>
        </w:rPr>
        <w:t xml:space="preserve"> </w:t>
      </w:r>
    </w:p>
    <w:p w14:paraId="65DB17E3" w14:textId="737B96B7" w:rsidR="003738C6" w:rsidRPr="0014164C" w:rsidRDefault="003738C6" w:rsidP="00CE41A5">
      <w:pPr>
        <w:rPr>
          <w:rFonts w:eastAsia="Calibri" w:cstheme="minorHAnsi"/>
          <w:spacing w:val="-9"/>
        </w:rPr>
      </w:pPr>
    </w:p>
    <w:p w14:paraId="3D749FC3" w14:textId="74A4804E" w:rsidR="00CE41A5" w:rsidRPr="0014164C" w:rsidRDefault="00CE41A5" w:rsidP="00CE41A5">
      <w:pPr>
        <w:rPr>
          <w:rFonts w:cstheme="minorHAnsi"/>
          <w:b/>
          <w:u w:val="single"/>
        </w:rPr>
      </w:pPr>
      <w:r w:rsidRPr="0014164C">
        <w:rPr>
          <w:rFonts w:cstheme="minorHAnsi"/>
          <w:b/>
          <w:u w:val="single"/>
        </w:rPr>
        <w:t xml:space="preserve">Notification and Final Decision </w:t>
      </w:r>
    </w:p>
    <w:p w14:paraId="355D7CEE" w14:textId="68264F0C" w:rsidR="00CC7691" w:rsidRPr="0014164C" w:rsidRDefault="0020780A" w:rsidP="003F3063">
      <w:pPr>
        <w:spacing w:after="0" w:line="240" w:lineRule="auto"/>
        <w:ind w:right="224"/>
        <w:jc w:val="both"/>
        <w:rPr>
          <w:rFonts w:eastAsia="Calibri" w:cstheme="minorHAnsi"/>
        </w:rPr>
      </w:pPr>
      <w:r w:rsidRPr="0014164C">
        <w:rPr>
          <w:rFonts w:eastAsia="Calibri" w:cstheme="minorHAnsi"/>
        </w:rPr>
        <w:t>Successful applicants</w:t>
      </w:r>
      <w:r w:rsidR="00CC7691" w:rsidRPr="0014164C">
        <w:rPr>
          <w:rFonts w:eastAsia="Calibri" w:cstheme="minorHAnsi"/>
        </w:rPr>
        <w:t xml:space="preserve"> will be notified of </w:t>
      </w:r>
      <w:r w:rsidR="00F001E3">
        <w:rPr>
          <w:rFonts w:eastAsia="Calibri" w:cstheme="minorHAnsi"/>
        </w:rPr>
        <w:t>Rural, Remote and Indigenous Grant</w:t>
      </w:r>
      <w:r w:rsidR="00CC7691" w:rsidRPr="0014164C">
        <w:rPr>
          <w:rFonts w:eastAsia="Calibri" w:cstheme="minorHAnsi"/>
        </w:rPr>
        <w:t xml:space="preserve"> funding decisions in </w:t>
      </w:r>
      <w:r w:rsidR="00470D96">
        <w:rPr>
          <w:rFonts w:eastAsia="Calibri" w:cstheme="minorHAnsi"/>
        </w:rPr>
        <w:t>February 2021.</w:t>
      </w:r>
    </w:p>
    <w:p w14:paraId="5E8E8F53" w14:textId="16102FFA" w:rsidR="00CC7691" w:rsidRPr="0014164C" w:rsidRDefault="00CC7691" w:rsidP="00CC7691">
      <w:pPr>
        <w:spacing w:after="0" w:line="240" w:lineRule="auto"/>
        <w:ind w:right="9451"/>
        <w:jc w:val="both"/>
        <w:rPr>
          <w:rFonts w:eastAsia="Calibri" w:cstheme="minorHAnsi"/>
        </w:rPr>
      </w:pPr>
    </w:p>
    <w:p w14:paraId="65EBA57D" w14:textId="43B50CC3" w:rsidR="000047F3" w:rsidRPr="0014164C" w:rsidRDefault="00CE41A5" w:rsidP="00CE41A5">
      <w:pPr>
        <w:rPr>
          <w:rFonts w:cstheme="minorHAnsi"/>
          <w:b/>
          <w:u w:val="single"/>
        </w:rPr>
      </w:pPr>
      <w:r w:rsidRPr="0014164C">
        <w:rPr>
          <w:rFonts w:cstheme="minorHAnsi"/>
          <w:b/>
          <w:u w:val="single"/>
        </w:rPr>
        <w:t xml:space="preserve">For further information please contact: </w:t>
      </w:r>
    </w:p>
    <w:p w14:paraId="5DC362A0" w14:textId="77777777" w:rsidR="00D328D4" w:rsidRPr="0014164C" w:rsidRDefault="00D328D4" w:rsidP="00313F37">
      <w:pPr>
        <w:spacing w:after="0" w:line="240" w:lineRule="auto"/>
        <w:rPr>
          <w:rFonts w:cstheme="minorHAnsi"/>
        </w:rPr>
        <w:sectPr w:rsidR="00D328D4" w:rsidRPr="0014164C" w:rsidSect="00C5341C">
          <w:headerReference w:type="even" r:id="rId10"/>
          <w:headerReference w:type="default" r:id="rId11"/>
          <w:footerReference w:type="even" r:id="rId12"/>
          <w:footerReference w:type="default" r:id="rId13"/>
          <w:pgSz w:w="12240" w:h="15840"/>
          <w:pgMar w:top="1440" w:right="1080" w:bottom="1440" w:left="1080" w:header="708" w:footer="708" w:gutter="0"/>
          <w:cols w:space="708"/>
          <w:docGrid w:linePitch="360"/>
        </w:sectPr>
      </w:pPr>
    </w:p>
    <w:p w14:paraId="1C59E812" w14:textId="7050B227" w:rsidR="00CB1BE0" w:rsidRPr="0014164C" w:rsidRDefault="00084D1A" w:rsidP="00313F37">
      <w:pPr>
        <w:spacing w:after="0" w:line="240" w:lineRule="auto"/>
        <w:rPr>
          <w:rFonts w:cstheme="minorHAnsi"/>
        </w:rPr>
      </w:pPr>
      <w:r w:rsidRPr="0014164C">
        <w:rPr>
          <w:rFonts w:cstheme="minorHAnsi"/>
        </w:rPr>
        <w:t>Janine Stevenson</w:t>
      </w:r>
    </w:p>
    <w:p w14:paraId="62CF7A93" w14:textId="3B6D0950" w:rsidR="00084D1A" w:rsidRPr="0014164C" w:rsidRDefault="00084D1A" w:rsidP="00313F37">
      <w:pPr>
        <w:spacing w:after="0" w:line="240" w:lineRule="auto"/>
        <w:rPr>
          <w:rFonts w:cstheme="minorHAnsi"/>
        </w:rPr>
      </w:pPr>
      <w:r w:rsidRPr="0014164C">
        <w:rPr>
          <w:rFonts w:cstheme="minorHAnsi"/>
        </w:rPr>
        <w:t>Director of Strategic Initiatives and Special Projects</w:t>
      </w:r>
    </w:p>
    <w:p w14:paraId="2C7B25A2" w14:textId="6725F864" w:rsidR="00313F37" w:rsidRPr="0014164C" w:rsidRDefault="00313F37" w:rsidP="00313F37">
      <w:pPr>
        <w:spacing w:after="0" w:line="240" w:lineRule="auto"/>
        <w:rPr>
          <w:rFonts w:cstheme="minorHAnsi"/>
        </w:rPr>
      </w:pPr>
      <w:r w:rsidRPr="0014164C">
        <w:rPr>
          <w:rFonts w:cstheme="minorHAnsi"/>
        </w:rPr>
        <w:t>Phone:</w:t>
      </w:r>
      <w:r w:rsidR="008703BA">
        <w:rPr>
          <w:rFonts w:cstheme="minorHAnsi"/>
        </w:rPr>
        <w:t xml:space="preserve"> </w:t>
      </w:r>
      <w:r w:rsidR="000047F3" w:rsidRPr="0014164C">
        <w:rPr>
          <w:rFonts w:cstheme="minorHAnsi"/>
        </w:rPr>
        <w:t>604-637-8296</w:t>
      </w:r>
      <w:r w:rsidR="003F3063" w:rsidRPr="0014164C">
        <w:rPr>
          <w:rFonts w:cstheme="minorHAnsi"/>
        </w:rPr>
        <w:t xml:space="preserve"> | Fax: 604-875-0710</w:t>
      </w:r>
    </w:p>
    <w:p w14:paraId="5B221926" w14:textId="5AFEAC3F" w:rsidR="00313F37" w:rsidRPr="0014164C" w:rsidRDefault="00313F37" w:rsidP="00313F37">
      <w:pPr>
        <w:spacing w:after="0" w:line="240" w:lineRule="auto"/>
        <w:rPr>
          <w:rFonts w:cstheme="minorHAnsi"/>
        </w:rPr>
      </w:pPr>
      <w:r w:rsidRPr="0014164C">
        <w:rPr>
          <w:rFonts w:cstheme="minorHAnsi"/>
        </w:rPr>
        <w:t>Toll Free: 1-877-456-9085</w:t>
      </w:r>
    </w:p>
    <w:p w14:paraId="7722CAB2" w14:textId="41AC394E" w:rsidR="00313F37" w:rsidRPr="0014164C" w:rsidRDefault="00313F37" w:rsidP="00313F37">
      <w:pPr>
        <w:spacing w:after="0" w:line="240" w:lineRule="auto"/>
        <w:rPr>
          <w:rFonts w:cstheme="minorHAnsi"/>
        </w:rPr>
      </w:pPr>
      <w:r w:rsidRPr="0014164C">
        <w:rPr>
          <w:rFonts w:cstheme="minorHAnsi"/>
        </w:rPr>
        <w:t>Ema</w:t>
      </w:r>
      <w:r w:rsidR="00084D1A" w:rsidRPr="0014164C">
        <w:rPr>
          <w:rFonts w:cstheme="minorHAnsi"/>
        </w:rPr>
        <w:t>il: JStevenson@caibc.ca</w:t>
      </w:r>
    </w:p>
    <w:p w14:paraId="20B11115" w14:textId="77777777" w:rsidR="0066146E" w:rsidRPr="0014164C" w:rsidRDefault="0066146E" w:rsidP="00313F37">
      <w:pPr>
        <w:spacing w:after="0" w:line="240" w:lineRule="auto"/>
        <w:rPr>
          <w:rFonts w:cstheme="minorHAnsi"/>
        </w:rPr>
      </w:pPr>
    </w:p>
    <w:p w14:paraId="37C34398" w14:textId="09BFDDEA" w:rsidR="000047F3" w:rsidRPr="0014164C" w:rsidRDefault="000047F3" w:rsidP="00313F37">
      <w:pPr>
        <w:spacing w:after="0" w:line="240" w:lineRule="auto"/>
        <w:rPr>
          <w:rFonts w:cstheme="minorHAnsi"/>
        </w:rPr>
      </w:pPr>
      <w:r w:rsidRPr="0014164C">
        <w:rPr>
          <w:rFonts w:cstheme="minorHAnsi"/>
        </w:rPr>
        <w:t>Mailing Address:</w:t>
      </w:r>
    </w:p>
    <w:p w14:paraId="723B69F7" w14:textId="1F41BBE7" w:rsidR="000047F3" w:rsidRPr="0014164C" w:rsidRDefault="000047F3" w:rsidP="00313F37">
      <w:pPr>
        <w:spacing w:after="0" w:line="240" w:lineRule="auto"/>
        <w:rPr>
          <w:rFonts w:cstheme="minorHAnsi"/>
        </w:rPr>
      </w:pPr>
      <w:r w:rsidRPr="0014164C">
        <w:rPr>
          <w:rFonts w:cstheme="minorHAnsi"/>
        </w:rPr>
        <w:t>Community Action Initiative</w:t>
      </w:r>
    </w:p>
    <w:p w14:paraId="37D25A9F" w14:textId="7E325EB8" w:rsidR="000047F3" w:rsidRPr="0014164C" w:rsidRDefault="00084D1A" w:rsidP="00313F37">
      <w:pPr>
        <w:spacing w:after="0" w:line="240" w:lineRule="auto"/>
        <w:rPr>
          <w:rFonts w:cstheme="minorHAnsi"/>
        </w:rPr>
      </w:pPr>
      <w:r w:rsidRPr="0014164C">
        <w:rPr>
          <w:rFonts w:cstheme="minorHAnsi"/>
        </w:rPr>
        <w:t>Rural</w:t>
      </w:r>
      <w:r w:rsidR="00AF3CD4">
        <w:rPr>
          <w:rFonts w:cstheme="minorHAnsi"/>
        </w:rPr>
        <w:t>, Remote</w:t>
      </w:r>
      <w:r w:rsidRPr="0014164C">
        <w:rPr>
          <w:rFonts w:cstheme="minorHAnsi"/>
        </w:rPr>
        <w:t xml:space="preserve"> and Indigenous </w:t>
      </w:r>
      <w:r w:rsidR="00D02E10">
        <w:rPr>
          <w:rFonts w:cstheme="minorHAnsi"/>
        </w:rPr>
        <w:t>Overdose</w:t>
      </w:r>
      <w:r w:rsidR="00D02E10" w:rsidRPr="0014164C">
        <w:rPr>
          <w:rFonts w:cstheme="minorHAnsi"/>
        </w:rPr>
        <w:t xml:space="preserve"> </w:t>
      </w:r>
      <w:r w:rsidRPr="0014164C">
        <w:rPr>
          <w:rFonts w:cstheme="minorHAnsi"/>
        </w:rPr>
        <w:t>Grants</w:t>
      </w:r>
    </w:p>
    <w:p w14:paraId="1338637C" w14:textId="23086F15" w:rsidR="000047F3" w:rsidRPr="0014164C" w:rsidRDefault="000047F3" w:rsidP="00313F37">
      <w:pPr>
        <w:spacing w:after="0" w:line="240" w:lineRule="auto"/>
        <w:rPr>
          <w:rFonts w:cstheme="minorHAnsi"/>
        </w:rPr>
      </w:pPr>
      <w:r w:rsidRPr="0014164C">
        <w:rPr>
          <w:rFonts w:cstheme="minorHAnsi"/>
        </w:rPr>
        <w:t>1183 Melville Street</w:t>
      </w:r>
    </w:p>
    <w:p w14:paraId="159A3ACB" w14:textId="0B141BB8" w:rsidR="000047F3" w:rsidRPr="0014164C" w:rsidRDefault="000047F3" w:rsidP="00313F37">
      <w:pPr>
        <w:spacing w:after="0" w:line="240" w:lineRule="auto"/>
        <w:rPr>
          <w:rFonts w:cstheme="minorHAnsi"/>
        </w:rPr>
      </w:pPr>
      <w:r w:rsidRPr="0014164C">
        <w:rPr>
          <w:rFonts w:cstheme="minorHAnsi"/>
        </w:rPr>
        <w:t>Vancouver, BC</w:t>
      </w:r>
    </w:p>
    <w:p w14:paraId="6AA38E88" w14:textId="71D1AF25" w:rsidR="00D328D4" w:rsidRPr="0014164C" w:rsidRDefault="000047F3" w:rsidP="003F3063">
      <w:pPr>
        <w:spacing w:after="0" w:line="240" w:lineRule="auto"/>
        <w:rPr>
          <w:rFonts w:cstheme="minorHAnsi"/>
        </w:rPr>
        <w:sectPr w:rsidR="00D328D4" w:rsidRPr="0014164C" w:rsidSect="00D328D4">
          <w:type w:val="continuous"/>
          <w:pgSz w:w="12240" w:h="15840"/>
          <w:pgMar w:top="1440" w:right="1080" w:bottom="1440" w:left="1080" w:header="708" w:footer="708" w:gutter="0"/>
          <w:cols w:num="2" w:space="708"/>
          <w:docGrid w:linePitch="360"/>
        </w:sectPr>
      </w:pPr>
      <w:r w:rsidRPr="0014164C">
        <w:rPr>
          <w:rFonts w:cstheme="minorHAnsi"/>
        </w:rPr>
        <w:t xml:space="preserve">V6E 2X5 </w:t>
      </w:r>
    </w:p>
    <w:p w14:paraId="3384DECB" w14:textId="77777777" w:rsidR="00734AB5" w:rsidRDefault="00734AB5" w:rsidP="00D328D4">
      <w:pPr>
        <w:widowControl/>
        <w:spacing w:after="160" w:line="259" w:lineRule="auto"/>
        <w:rPr>
          <w:b/>
          <w:color w:val="018EA5"/>
          <w:sz w:val="40"/>
          <w:szCs w:val="40"/>
        </w:rPr>
      </w:pPr>
    </w:p>
    <w:p w14:paraId="77868758" w14:textId="73161B64" w:rsidR="006C2B74" w:rsidRDefault="00C70FA9" w:rsidP="00C70FA9">
      <w:pPr>
        <w:widowControl/>
        <w:spacing w:after="160" w:line="259" w:lineRule="auto"/>
        <w:rPr>
          <w:b/>
          <w:color w:val="018EA5"/>
          <w:sz w:val="32"/>
          <w:szCs w:val="32"/>
        </w:rPr>
      </w:pPr>
      <w:r>
        <w:rPr>
          <w:b/>
          <w:color w:val="018EA5"/>
          <w:sz w:val="40"/>
          <w:szCs w:val="40"/>
        </w:rPr>
        <w:br w:type="page"/>
      </w:r>
      <w:r w:rsidR="006C2B74" w:rsidRPr="009468C8">
        <w:rPr>
          <w:b/>
          <w:color w:val="018EA5"/>
          <w:sz w:val="32"/>
          <w:szCs w:val="32"/>
        </w:rPr>
        <w:lastRenderedPageBreak/>
        <w:t>Appendix</w:t>
      </w:r>
      <w:r w:rsidR="00BB2F9B">
        <w:rPr>
          <w:b/>
          <w:color w:val="018EA5"/>
          <w:sz w:val="32"/>
          <w:szCs w:val="32"/>
        </w:rPr>
        <w:t xml:space="preserve"> A</w:t>
      </w:r>
      <w:r w:rsidR="006C2B74" w:rsidRPr="009468C8">
        <w:rPr>
          <w:b/>
          <w:color w:val="018EA5"/>
          <w:sz w:val="32"/>
          <w:szCs w:val="32"/>
        </w:rPr>
        <w:t xml:space="preserve">: </w:t>
      </w:r>
      <w:r w:rsidR="00AB62A9">
        <w:rPr>
          <w:b/>
          <w:color w:val="018EA5"/>
          <w:sz w:val="32"/>
          <w:szCs w:val="32"/>
        </w:rPr>
        <w:t xml:space="preserve">OERC’s Comprehensive Package framework of Core Interventions </w:t>
      </w:r>
    </w:p>
    <w:p w14:paraId="021AA9D9" w14:textId="7C9245F8" w:rsidR="00BB2F9B" w:rsidRDefault="00AB62A9" w:rsidP="00F455F1">
      <w:pPr>
        <w:widowControl/>
        <w:spacing w:after="160" w:line="259" w:lineRule="auto"/>
        <w:rPr>
          <w:b/>
          <w:sz w:val="28"/>
          <w:szCs w:val="28"/>
        </w:rPr>
      </w:pPr>
      <w:r>
        <w:rPr>
          <w:noProof/>
          <w:lang w:val="en-CA" w:eastAsia="en-CA"/>
        </w:rPr>
        <w:drawing>
          <wp:inline distT="0" distB="0" distL="0" distR="0" wp14:anchorId="2198F870" wp14:editId="0EB7EECA">
            <wp:extent cx="5019675" cy="649438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63559" t="17393" r="20408" b="8867"/>
                    <a:stretch/>
                  </pic:blipFill>
                  <pic:spPr bwMode="auto">
                    <a:xfrm>
                      <a:off x="0" y="0"/>
                      <a:ext cx="5019675" cy="6494387"/>
                    </a:xfrm>
                    <a:prstGeom prst="rect">
                      <a:avLst/>
                    </a:prstGeom>
                    <a:ln>
                      <a:noFill/>
                    </a:ln>
                    <a:extLst>
                      <a:ext uri="{53640926-AAD7-44D8-BBD7-CCE9431645EC}">
                        <a14:shadowObscured xmlns:a14="http://schemas.microsoft.com/office/drawing/2010/main"/>
                      </a:ext>
                    </a:extLst>
                  </pic:spPr>
                </pic:pic>
              </a:graphicData>
            </a:graphic>
          </wp:inline>
        </w:drawing>
      </w:r>
    </w:p>
    <w:p w14:paraId="63C36530" w14:textId="1BC2E4FE" w:rsidR="00F455F1" w:rsidRPr="00E318D2" w:rsidRDefault="00BB2F9B" w:rsidP="00F455F1">
      <w:pPr>
        <w:widowControl/>
        <w:spacing w:after="160" w:line="259" w:lineRule="auto"/>
        <w:rPr>
          <w:b/>
          <w:color w:val="018EA5"/>
          <w:sz w:val="32"/>
          <w:szCs w:val="32"/>
        </w:rPr>
      </w:pPr>
      <w:r w:rsidRPr="00E318D2">
        <w:rPr>
          <w:b/>
          <w:color w:val="018EA5"/>
          <w:sz w:val="32"/>
          <w:szCs w:val="32"/>
        </w:rPr>
        <w:lastRenderedPageBreak/>
        <w:t xml:space="preserve">Appendix B: </w:t>
      </w:r>
      <w:r w:rsidR="00F455F1" w:rsidRPr="00E318D2">
        <w:rPr>
          <w:b/>
          <w:color w:val="018EA5"/>
          <w:sz w:val="32"/>
          <w:szCs w:val="32"/>
        </w:rPr>
        <w:t>Rural and Indigenous Overdose Action Exchange Recommendations</w:t>
      </w:r>
      <w:r w:rsidR="00954EF5" w:rsidRPr="00E318D2">
        <w:rPr>
          <w:b/>
          <w:color w:val="018EA5"/>
          <w:sz w:val="32"/>
          <w:szCs w:val="32"/>
        </w:rPr>
        <w:t xml:space="preserve"> and Examples</w:t>
      </w:r>
    </w:p>
    <w:p w14:paraId="45748B55" w14:textId="1ED798F3" w:rsidR="006C2B74" w:rsidRPr="006C2B74" w:rsidRDefault="006C2B74" w:rsidP="006C2B74">
      <w:pPr>
        <w:rPr>
          <w:rFonts w:asciiTheme="majorHAnsi" w:hAnsiTheme="majorHAnsi"/>
          <w:sz w:val="20"/>
          <w:szCs w:val="20"/>
        </w:rPr>
      </w:pPr>
      <w:r w:rsidRPr="00FB5204">
        <w:rPr>
          <w:rFonts w:asciiTheme="majorHAnsi" w:hAnsiTheme="majorHAnsi"/>
          <w:sz w:val="20"/>
          <w:szCs w:val="20"/>
        </w:rPr>
        <w:t xml:space="preserve">The following four categories are offered as guidelines for your </w:t>
      </w:r>
      <w:r w:rsidR="00AF3CD4">
        <w:rPr>
          <w:rFonts w:asciiTheme="majorHAnsi" w:hAnsiTheme="majorHAnsi"/>
          <w:sz w:val="20"/>
          <w:szCs w:val="20"/>
        </w:rPr>
        <w:t>project application.</w:t>
      </w:r>
      <w:r w:rsidRPr="00FB5204">
        <w:rPr>
          <w:rFonts w:asciiTheme="majorHAnsi" w:hAnsiTheme="majorHAnsi"/>
          <w:sz w:val="20"/>
          <w:szCs w:val="20"/>
        </w:rPr>
        <w:t xml:space="preserve"> If proposing a project that falls outside of these guidelines, choose “Other” during the application process.</w:t>
      </w:r>
      <w:r w:rsidRPr="006C2B74">
        <w:rPr>
          <w:rFonts w:asciiTheme="majorHAnsi" w:hAnsiTheme="majorHAnsi"/>
          <w:sz w:val="20"/>
          <w:szCs w:val="20"/>
        </w:rPr>
        <w:t xml:space="preserve">  </w:t>
      </w:r>
    </w:p>
    <w:tbl>
      <w:tblPr>
        <w:tblStyle w:val="TableGrid"/>
        <w:tblW w:w="0" w:type="auto"/>
        <w:tblLook w:val="04A0" w:firstRow="1" w:lastRow="0" w:firstColumn="1" w:lastColumn="0" w:noHBand="0" w:noVBand="1"/>
      </w:tblPr>
      <w:tblGrid>
        <w:gridCol w:w="5451"/>
        <w:gridCol w:w="4619"/>
      </w:tblGrid>
      <w:tr w:rsidR="006C2B74" w:rsidRPr="0014164C" w14:paraId="16F2EB59" w14:textId="77777777" w:rsidTr="009468C8">
        <w:trPr>
          <w:trHeight w:val="628"/>
        </w:trPr>
        <w:tc>
          <w:tcPr>
            <w:tcW w:w="0" w:type="auto"/>
            <w:tcBorders>
              <w:bottom w:val="single" w:sz="4" w:space="0" w:color="auto"/>
            </w:tcBorders>
            <w:shd w:val="clear" w:color="auto" w:fill="008080"/>
            <w:vAlign w:val="center"/>
          </w:tcPr>
          <w:p w14:paraId="23121A84" w14:textId="3F92BFDB" w:rsidR="006C2B74" w:rsidRPr="0014164C" w:rsidRDefault="009468C8" w:rsidP="009468C8">
            <w:pPr>
              <w:jc w:val="center"/>
              <w:rPr>
                <w:b/>
                <w:color w:val="FFFFFF" w:themeColor="background1"/>
                <w:sz w:val="18"/>
                <w:szCs w:val="18"/>
              </w:rPr>
            </w:pPr>
            <w:r>
              <w:rPr>
                <w:b/>
                <w:color w:val="FFFFFF" w:themeColor="background1"/>
                <w:sz w:val="18"/>
                <w:szCs w:val="18"/>
              </w:rPr>
              <w:t xml:space="preserve">1 – Tackling </w:t>
            </w:r>
            <w:r w:rsidR="006C2B74" w:rsidRPr="0014164C">
              <w:rPr>
                <w:b/>
                <w:color w:val="FFFFFF" w:themeColor="background1"/>
                <w:sz w:val="18"/>
                <w:szCs w:val="18"/>
              </w:rPr>
              <w:t>Stigma and Shame</w:t>
            </w:r>
          </w:p>
        </w:tc>
        <w:tc>
          <w:tcPr>
            <w:tcW w:w="0" w:type="auto"/>
            <w:tcBorders>
              <w:bottom w:val="single" w:sz="4" w:space="0" w:color="auto"/>
            </w:tcBorders>
            <w:shd w:val="clear" w:color="auto" w:fill="008080"/>
            <w:vAlign w:val="center"/>
          </w:tcPr>
          <w:p w14:paraId="088FFD3E" w14:textId="2B84AA52" w:rsidR="006C2B74" w:rsidRPr="0014164C" w:rsidRDefault="009468C8" w:rsidP="009468C8">
            <w:pPr>
              <w:jc w:val="center"/>
              <w:rPr>
                <w:b/>
                <w:color w:val="FFFFFF" w:themeColor="background1"/>
                <w:sz w:val="18"/>
                <w:szCs w:val="18"/>
              </w:rPr>
            </w:pPr>
            <w:r>
              <w:rPr>
                <w:b/>
                <w:color w:val="FFFFFF" w:themeColor="background1"/>
                <w:sz w:val="18"/>
                <w:szCs w:val="18"/>
              </w:rPr>
              <w:t>2 –</w:t>
            </w:r>
            <w:r w:rsidR="00F455F1">
              <w:rPr>
                <w:b/>
                <w:color w:val="FFFFFF" w:themeColor="background1"/>
                <w:sz w:val="18"/>
                <w:szCs w:val="18"/>
              </w:rPr>
              <w:t xml:space="preserve"> </w:t>
            </w:r>
            <w:r w:rsidR="006C2B74" w:rsidRPr="0014164C">
              <w:rPr>
                <w:b/>
                <w:color w:val="FFFFFF" w:themeColor="background1"/>
                <w:sz w:val="18"/>
                <w:szCs w:val="18"/>
              </w:rPr>
              <w:t xml:space="preserve">Harm Reduction </w:t>
            </w:r>
            <w:r w:rsidR="00F455F1">
              <w:rPr>
                <w:b/>
                <w:color w:val="FFFFFF" w:themeColor="background1"/>
                <w:sz w:val="18"/>
                <w:szCs w:val="18"/>
              </w:rPr>
              <w:t>&amp;</w:t>
            </w:r>
            <w:r w:rsidR="006C2B74" w:rsidRPr="0014164C">
              <w:rPr>
                <w:b/>
                <w:color w:val="FFFFFF" w:themeColor="background1"/>
                <w:sz w:val="18"/>
                <w:szCs w:val="18"/>
              </w:rPr>
              <w:t xml:space="preserve"> Peer Involvement</w:t>
            </w:r>
          </w:p>
        </w:tc>
      </w:tr>
      <w:tr w:rsidR="006C2B74" w:rsidRPr="00F455F1" w14:paraId="249CEAD9" w14:textId="77777777" w:rsidTr="00133019">
        <w:tc>
          <w:tcPr>
            <w:tcW w:w="0" w:type="auto"/>
            <w:tcBorders>
              <w:bottom w:val="single" w:sz="4" w:space="0" w:color="auto"/>
            </w:tcBorders>
            <w:shd w:val="clear" w:color="auto" w:fill="auto"/>
          </w:tcPr>
          <w:p w14:paraId="1CFF8E50" w14:textId="77777777" w:rsidR="006C2B74" w:rsidRPr="00F455F1" w:rsidRDefault="006C2B74" w:rsidP="0014164C">
            <w:pPr>
              <w:spacing w:after="160" w:line="259" w:lineRule="auto"/>
              <w:rPr>
                <w:b/>
                <w:sz w:val="17"/>
                <w:szCs w:val="17"/>
              </w:rPr>
            </w:pPr>
            <w:r w:rsidRPr="00F455F1">
              <w:rPr>
                <w:b/>
                <w:sz w:val="17"/>
                <w:szCs w:val="17"/>
              </w:rPr>
              <w:t>Find ways to capture the diverse experience of people who use drugs. For example:</w:t>
            </w:r>
          </w:p>
          <w:p w14:paraId="1303480A" w14:textId="50B7A86D" w:rsidR="006C2B74" w:rsidRPr="00F455F1" w:rsidRDefault="006C2B74" w:rsidP="0014164C">
            <w:pPr>
              <w:pStyle w:val="ListParagraph"/>
              <w:numPr>
                <w:ilvl w:val="0"/>
                <w:numId w:val="19"/>
              </w:numPr>
              <w:autoSpaceDE w:val="0"/>
              <w:autoSpaceDN w:val="0"/>
              <w:adjustRightInd w:val="0"/>
              <w:spacing w:after="160" w:line="259" w:lineRule="auto"/>
              <w:rPr>
                <w:rFonts w:asciiTheme="minorHAnsi" w:hAnsiTheme="minorHAnsi"/>
                <w:sz w:val="17"/>
                <w:szCs w:val="17"/>
              </w:rPr>
            </w:pPr>
            <w:r w:rsidRPr="00F455F1">
              <w:rPr>
                <w:rFonts w:asciiTheme="minorHAnsi" w:hAnsiTheme="minorHAnsi" w:cstheme="minorHAnsi"/>
                <w:sz w:val="17"/>
                <w:szCs w:val="17"/>
              </w:rPr>
              <w:t xml:space="preserve">Consolidate a list of community events, dialogues, videos, projects, etc., to support learning and sharing of information </w:t>
            </w:r>
          </w:p>
          <w:p w14:paraId="003B752D" w14:textId="2ED3FDA3" w:rsidR="006C2B74" w:rsidRPr="00F455F1" w:rsidRDefault="006C2B74" w:rsidP="0014164C">
            <w:pPr>
              <w:pStyle w:val="ListParagraph"/>
              <w:numPr>
                <w:ilvl w:val="0"/>
                <w:numId w:val="19"/>
              </w:numPr>
              <w:autoSpaceDE w:val="0"/>
              <w:autoSpaceDN w:val="0"/>
              <w:adjustRightInd w:val="0"/>
              <w:spacing w:after="160" w:line="259" w:lineRule="auto"/>
              <w:rPr>
                <w:rFonts w:asciiTheme="minorHAnsi" w:hAnsiTheme="minorHAnsi"/>
                <w:sz w:val="17"/>
                <w:szCs w:val="17"/>
              </w:rPr>
            </w:pPr>
            <w:r w:rsidRPr="00F455F1">
              <w:rPr>
                <w:rFonts w:asciiTheme="minorHAnsi" w:hAnsiTheme="minorHAnsi"/>
                <w:sz w:val="17"/>
                <w:szCs w:val="17"/>
              </w:rPr>
              <w:t>Develop communication materials &amp; encourage conversations around safer dosing and active using</w:t>
            </w:r>
          </w:p>
          <w:p w14:paraId="485A53FD" w14:textId="7891AC5E" w:rsidR="006C2B74" w:rsidRPr="00F455F1" w:rsidRDefault="006C2B74" w:rsidP="0014164C">
            <w:pPr>
              <w:autoSpaceDE w:val="0"/>
              <w:autoSpaceDN w:val="0"/>
              <w:adjustRightInd w:val="0"/>
              <w:spacing w:after="160" w:line="259" w:lineRule="auto"/>
              <w:rPr>
                <w:b/>
                <w:sz w:val="17"/>
                <w:szCs w:val="17"/>
              </w:rPr>
            </w:pPr>
            <w:r w:rsidRPr="00F455F1">
              <w:rPr>
                <w:b/>
                <w:sz w:val="17"/>
                <w:szCs w:val="17"/>
              </w:rPr>
              <w:t>Language shift towards “compassionate care”. For example:</w:t>
            </w:r>
          </w:p>
          <w:p w14:paraId="4C54DFA9" w14:textId="0E4F5677" w:rsidR="006C2B74" w:rsidRPr="00F455F1" w:rsidRDefault="006C2B74" w:rsidP="0014164C">
            <w:pPr>
              <w:pStyle w:val="ListParagraph"/>
              <w:numPr>
                <w:ilvl w:val="0"/>
                <w:numId w:val="19"/>
              </w:numPr>
              <w:autoSpaceDE w:val="0"/>
              <w:autoSpaceDN w:val="0"/>
              <w:adjustRightInd w:val="0"/>
              <w:spacing w:after="160" w:line="259" w:lineRule="auto"/>
              <w:rPr>
                <w:rFonts w:asciiTheme="minorHAnsi" w:hAnsiTheme="minorHAnsi"/>
                <w:sz w:val="17"/>
                <w:szCs w:val="17"/>
              </w:rPr>
            </w:pPr>
            <w:r w:rsidRPr="00F455F1">
              <w:rPr>
                <w:rFonts w:asciiTheme="minorHAnsi" w:hAnsiTheme="minorHAnsi"/>
                <w:sz w:val="17"/>
                <w:szCs w:val="17"/>
              </w:rPr>
              <w:t xml:space="preserve">Re-examine the language used to convey services and supports </w:t>
            </w:r>
          </w:p>
          <w:p w14:paraId="020DF22B" w14:textId="77777777" w:rsidR="006C2B74" w:rsidRPr="00F455F1" w:rsidRDefault="006C2B74" w:rsidP="0014164C">
            <w:pPr>
              <w:pStyle w:val="ListParagraph"/>
              <w:numPr>
                <w:ilvl w:val="0"/>
                <w:numId w:val="19"/>
              </w:numPr>
              <w:autoSpaceDE w:val="0"/>
              <w:autoSpaceDN w:val="0"/>
              <w:adjustRightInd w:val="0"/>
              <w:spacing w:after="160" w:line="259" w:lineRule="auto"/>
              <w:rPr>
                <w:rFonts w:asciiTheme="minorHAnsi" w:hAnsiTheme="minorHAnsi"/>
                <w:sz w:val="17"/>
                <w:szCs w:val="17"/>
              </w:rPr>
            </w:pPr>
            <w:r w:rsidRPr="00F455F1">
              <w:rPr>
                <w:rFonts w:asciiTheme="minorHAnsi" w:hAnsiTheme="minorHAnsi"/>
                <w:sz w:val="17"/>
                <w:szCs w:val="17"/>
              </w:rPr>
              <w:t>Create more spaces and gatherings for Indigenous communities and local health authorities to work together</w:t>
            </w:r>
          </w:p>
          <w:p w14:paraId="77680DC2" w14:textId="77777777" w:rsidR="002D1151" w:rsidRPr="00F455F1" w:rsidRDefault="002D1151" w:rsidP="002D1151">
            <w:pPr>
              <w:spacing w:after="160" w:line="259" w:lineRule="auto"/>
              <w:rPr>
                <w:b/>
                <w:sz w:val="17"/>
                <w:szCs w:val="17"/>
              </w:rPr>
            </w:pPr>
            <w:r w:rsidRPr="00F455F1">
              <w:rPr>
                <w:b/>
                <w:sz w:val="17"/>
                <w:szCs w:val="17"/>
              </w:rPr>
              <w:t xml:space="preserve">Acknowledge and compensate peers for their time and expertise. For example: </w:t>
            </w:r>
          </w:p>
          <w:p w14:paraId="6DE4BC51" w14:textId="77777777" w:rsidR="002D1151" w:rsidRPr="00F455F1" w:rsidRDefault="002D1151" w:rsidP="002D1151">
            <w:pPr>
              <w:pStyle w:val="ListParagraph"/>
              <w:numPr>
                <w:ilvl w:val="0"/>
                <w:numId w:val="19"/>
              </w:numPr>
              <w:spacing w:after="160" w:line="259" w:lineRule="auto"/>
              <w:rPr>
                <w:rFonts w:asciiTheme="minorHAnsi" w:hAnsiTheme="minorHAnsi"/>
                <w:sz w:val="17"/>
                <w:szCs w:val="17"/>
              </w:rPr>
            </w:pPr>
            <w:r w:rsidRPr="00F455F1">
              <w:rPr>
                <w:rFonts w:asciiTheme="minorHAnsi" w:hAnsiTheme="minorHAnsi"/>
                <w:sz w:val="17"/>
                <w:szCs w:val="17"/>
              </w:rPr>
              <w:t>Connect with peer and harm reduction coordinators to create a contact list of peer leaders and organizations and identify pathways to dissemination (e.g., OPS, emergency departments, support groups, etc.)</w:t>
            </w:r>
          </w:p>
          <w:p w14:paraId="6F152C8F" w14:textId="5616A59C" w:rsidR="002D1151" w:rsidRPr="00F455F1" w:rsidRDefault="002D1151" w:rsidP="002D1151">
            <w:pPr>
              <w:pStyle w:val="ListParagraph"/>
              <w:numPr>
                <w:ilvl w:val="0"/>
                <w:numId w:val="19"/>
              </w:numPr>
              <w:spacing w:after="160" w:line="259" w:lineRule="auto"/>
              <w:rPr>
                <w:rFonts w:asciiTheme="minorHAnsi" w:hAnsiTheme="minorHAnsi"/>
                <w:sz w:val="17"/>
                <w:szCs w:val="17"/>
              </w:rPr>
            </w:pPr>
            <w:r w:rsidRPr="00F455F1">
              <w:rPr>
                <w:rFonts w:asciiTheme="minorHAnsi" w:hAnsiTheme="minorHAnsi"/>
                <w:sz w:val="17"/>
                <w:szCs w:val="17"/>
              </w:rPr>
              <w:t>Pay peers in accordance with CDC best practice guidelines</w:t>
            </w:r>
            <w:r w:rsidRPr="00F455F1">
              <w:rPr>
                <w:rStyle w:val="FootnoteReference"/>
                <w:rFonts w:asciiTheme="minorHAnsi" w:hAnsiTheme="minorHAnsi"/>
                <w:sz w:val="17"/>
                <w:szCs w:val="17"/>
              </w:rPr>
              <w:footnoteReference w:id="2"/>
            </w:r>
          </w:p>
        </w:tc>
        <w:tc>
          <w:tcPr>
            <w:tcW w:w="0" w:type="auto"/>
            <w:tcBorders>
              <w:bottom w:val="single" w:sz="4" w:space="0" w:color="auto"/>
            </w:tcBorders>
            <w:shd w:val="clear" w:color="auto" w:fill="auto"/>
          </w:tcPr>
          <w:p w14:paraId="5EF17AC1" w14:textId="30162768" w:rsidR="006C2B74" w:rsidRPr="00F455F1" w:rsidRDefault="006C2B74" w:rsidP="0014164C">
            <w:pPr>
              <w:spacing w:after="160" w:line="259" w:lineRule="auto"/>
              <w:rPr>
                <w:b/>
                <w:sz w:val="17"/>
                <w:szCs w:val="17"/>
              </w:rPr>
            </w:pPr>
            <w:r w:rsidRPr="00F455F1">
              <w:rPr>
                <w:b/>
                <w:sz w:val="17"/>
                <w:szCs w:val="17"/>
              </w:rPr>
              <w:t>Implement Indigenous, culturally based recovery initiatives and Indigenous forms of healing</w:t>
            </w:r>
            <w:r w:rsidR="002D1151" w:rsidRPr="00F455F1">
              <w:rPr>
                <w:b/>
                <w:sz w:val="17"/>
                <w:szCs w:val="17"/>
              </w:rPr>
              <w:t xml:space="preserve"> in communities and / or</w:t>
            </w:r>
            <w:r w:rsidRPr="00F455F1">
              <w:rPr>
                <w:b/>
                <w:sz w:val="17"/>
                <w:szCs w:val="17"/>
              </w:rPr>
              <w:t xml:space="preserve"> as part of non-Indigenous services. For example:</w:t>
            </w:r>
          </w:p>
          <w:p w14:paraId="70FF1ED8" w14:textId="7FADE631" w:rsidR="006C2B74" w:rsidRPr="00F455F1" w:rsidRDefault="006C2B74" w:rsidP="0014164C">
            <w:pPr>
              <w:pStyle w:val="ListParagraph"/>
              <w:numPr>
                <w:ilvl w:val="0"/>
                <w:numId w:val="19"/>
              </w:numPr>
              <w:spacing w:after="160" w:line="259" w:lineRule="auto"/>
              <w:rPr>
                <w:rFonts w:asciiTheme="minorHAnsi" w:hAnsiTheme="minorHAnsi"/>
                <w:sz w:val="17"/>
                <w:szCs w:val="17"/>
              </w:rPr>
            </w:pPr>
            <w:r w:rsidRPr="00F455F1">
              <w:rPr>
                <w:rFonts w:asciiTheme="minorHAnsi" w:hAnsiTheme="minorHAnsi"/>
                <w:sz w:val="17"/>
                <w:szCs w:val="17"/>
              </w:rPr>
              <w:t xml:space="preserve">Elder-in-residence programs, </w:t>
            </w:r>
            <w:r w:rsidR="00AF3CD4" w:rsidRPr="00F455F1">
              <w:rPr>
                <w:rFonts w:asciiTheme="minorHAnsi" w:hAnsiTheme="minorHAnsi"/>
                <w:sz w:val="17"/>
                <w:szCs w:val="17"/>
              </w:rPr>
              <w:t>hire local Indigenous people to do harm reduction work</w:t>
            </w:r>
          </w:p>
          <w:p w14:paraId="064F316B" w14:textId="77777777" w:rsidR="006C2B74" w:rsidRPr="00F455F1" w:rsidRDefault="006C2B74" w:rsidP="0014164C">
            <w:pPr>
              <w:pStyle w:val="ListParagraph"/>
              <w:numPr>
                <w:ilvl w:val="0"/>
                <w:numId w:val="19"/>
              </w:numPr>
              <w:spacing w:after="160" w:line="259" w:lineRule="auto"/>
              <w:rPr>
                <w:rFonts w:asciiTheme="minorHAnsi" w:hAnsiTheme="minorHAnsi"/>
                <w:sz w:val="17"/>
                <w:szCs w:val="17"/>
              </w:rPr>
            </w:pPr>
            <w:r w:rsidRPr="00F455F1">
              <w:rPr>
                <w:rFonts w:asciiTheme="minorHAnsi" w:hAnsiTheme="minorHAnsi"/>
                <w:sz w:val="17"/>
                <w:szCs w:val="17"/>
              </w:rPr>
              <w:t>Support Indigenous people and organizations to host a series of webinars to increase knowledge about land-based healing practices</w:t>
            </w:r>
          </w:p>
          <w:p w14:paraId="27278D8B" w14:textId="7A9DFD53" w:rsidR="006C2B74" w:rsidRPr="00F455F1" w:rsidRDefault="00AF3CD4" w:rsidP="0014164C">
            <w:pPr>
              <w:pStyle w:val="ListParagraph"/>
              <w:numPr>
                <w:ilvl w:val="0"/>
                <w:numId w:val="19"/>
              </w:numPr>
              <w:spacing w:after="160" w:line="259" w:lineRule="auto"/>
              <w:rPr>
                <w:rFonts w:asciiTheme="minorHAnsi" w:hAnsiTheme="minorHAnsi"/>
                <w:sz w:val="17"/>
                <w:szCs w:val="17"/>
              </w:rPr>
            </w:pPr>
            <w:r w:rsidRPr="00F455F1">
              <w:rPr>
                <w:rFonts w:asciiTheme="minorHAnsi" w:hAnsiTheme="minorHAnsi"/>
                <w:sz w:val="17"/>
                <w:szCs w:val="17"/>
              </w:rPr>
              <w:t>Hire an Indigenous pers</w:t>
            </w:r>
            <w:r w:rsidR="00E80DA0" w:rsidRPr="00F455F1">
              <w:rPr>
                <w:rFonts w:asciiTheme="minorHAnsi" w:hAnsiTheme="minorHAnsi"/>
                <w:sz w:val="17"/>
                <w:szCs w:val="17"/>
              </w:rPr>
              <w:t>o</w:t>
            </w:r>
            <w:r w:rsidRPr="00F455F1">
              <w:rPr>
                <w:rFonts w:asciiTheme="minorHAnsi" w:hAnsiTheme="minorHAnsi"/>
                <w:sz w:val="17"/>
                <w:szCs w:val="17"/>
              </w:rPr>
              <w:t xml:space="preserve">n to </w:t>
            </w:r>
            <w:r w:rsidR="00D02E10" w:rsidRPr="00F455F1">
              <w:rPr>
                <w:rFonts w:asciiTheme="minorHAnsi" w:hAnsiTheme="minorHAnsi"/>
                <w:sz w:val="17"/>
                <w:szCs w:val="17"/>
              </w:rPr>
              <w:t>lead land</w:t>
            </w:r>
            <w:r w:rsidR="006C2B74" w:rsidRPr="00F455F1">
              <w:rPr>
                <w:rFonts w:asciiTheme="minorHAnsi" w:hAnsiTheme="minorHAnsi"/>
                <w:sz w:val="17"/>
                <w:szCs w:val="17"/>
              </w:rPr>
              <w:t xml:space="preserve">-based healing practices </w:t>
            </w:r>
          </w:p>
          <w:p w14:paraId="692621A3" w14:textId="77777777" w:rsidR="002D1151" w:rsidRPr="00F455F1" w:rsidRDefault="002D1151" w:rsidP="002D1151">
            <w:pPr>
              <w:autoSpaceDE w:val="0"/>
              <w:autoSpaceDN w:val="0"/>
              <w:adjustRightInd w:val="0"/>
              <w:spacing w:after="160" w:line="259" w:lineRule="auto"/>
              <w:rPr>
                <w:b/>
                <w:sz w:val="17"/>
                <w:szCs w:val="17"/>
              </w:rPr>
            </w:pPr>
            <w:r w:rsidRPr="00F455F1">
              <w:rPr>
                <w:b/>
                <w:sz w:val="17"/>
                <w:szCs w:val="17"/>
              </w:rPr>
              <w:t xml:space="preserve">Invest in a mentorship model to support the growth and empowerment of peer voice. For example: </w:t>
            </w:r>
          </w:p>
          <w:p w14:paraId="76E55E6D" w14:textId="77777777" w:rsidR="002D1151" w:rsidRPr="00F455F1" w:rsidRDefault="002D1151" w:rsidP="002D1151">
            <w:pPr>
              <w:pStyle w:val="ListParagraph"/>
              <w:numPr>
                <w:ilvl w:val="0"/>
                <w:numId w:val="19"/>
              </w:numPr>
              <w:autoSpaceDE w:val="0"/>
              <w:autoSpaceDN w:val="0"/>
              <w:adjustRightInd w:val="0"/>
              <w:spacing w:after="160" w:line="259" w:lineRule="auto"/>
              <w:rPr>
                <w:rFonts w:asciiTheme="minorHAnsi" w:hAnsiTheme="minorHAnsi"/>
                <w:sz w:val="17"/>
                <w:szCs w:val="17"/>
              </w:rPr>
            </w:pPr>
            <w:r w:rsidRPr="00F455F1">
              <w:rPr>
                <w:rFonts w:asciiTheme="minorHAnsi" w:hAnsiTheme="minorHAnsi"/>
                <w:sz w:val="17"/>
                <w:szCs w:val="17"/>
              </w:rPr>
              <w:t>Connect with peer leaders to identify where they need support</w:t>
            </w:r>
          </w:p>
          <w:p w14:paraId="7744C740" w14:textId="66195F4C" w:rsidR="006C2B74" w:rsidRPr="00F455F1" w:rsidRDefault="002D1151" w:rsidP="006C2B74">
            <w:pPr>
              <w:pStyle w:val="ListParagraph"/>
              <w:numPr>
                <w:ilvl w:val="0"/>
                <w:numId w:val="19"/>
              </w:numPr>
              <w:autoSpaceDE w:val="0"/>
              <w:autoSpaceDN w:val="0"/>
              <w:adjustRightInd w:val="0"/>
              <w:spacing w:after="160" w:line="259" w:lineRule="auto"/>
              <w:rPr>
                <w:rFonts w:asciiTheme="minorHAnsi" w:hAnsiTheme="minorHAnsi"/>
                <w:sz w:val="17"/>
                <w:szCs w:val="17"/>
              </w:rPr>
            </w:pPr>
            <w:r w:rsidRPr="00F455F1">
              <w:rPr>
                <w:rFonts w:asciiTheme="minorHAnsi" w:hAnsiTheme="minorHAnsi"/>
                <w:sz w:val="17"/>
                <w:szCs w:val="17"/>
              </w:rPr>
              <w:t>Develop partnerships with local organizations to support mentorship and capacity building</w:t>
            </w:r>
          </w:p>
        </w:tc>
      </w:tr>
      <w:tr w:rsidR="006C2B74" w:rsidRPr="0014164C" w14:paraId="136DC878" w14:textId="77777777" w:rsidTr="009468C8">
        <w:tc>
          <w:tcPr>
            <w:tcW w:w="0" w:type="auto"/>
            <w:tcBorders>
              <w:bottom w:val="single" w:sz="4" w:space="0" w:color="auto"/>
            </w:tcBorders>
            <w:shd w:val="clear" w:color="auto" w:fill="008080"/>
            <w:vAlign w:val="center"/>
          </w:tcPr>
          <w:p w14:paraId="32EA3F67" w14:textId="20850769" w:rsidR="006C2B74" w:rsidRPr="0014164C" w:rsidRDefault="009468C8" w:rsidP="009468C8">
            <w:pPr>
              <w:jc w:val="center"/>
              <w:rPr>
                <w:b/>
                <w:color w:val="FFFFFF" w:themeColor="background1"/>
                <w:sz w:val="18"/>
                <w:szCs w:val="18"/>
              </w:rPr>
            </w:pPr>
            <w:r>
              <w:rPr>
                <w:b/>
                <w:color w:val="FFFFFF" w:themeColor="background1"/>
                <w:sz w:val="18"/>
                <w:szCs w:val="18"/>
              </w:rPr>
              <w:t xml:space="preserve">3 – Generating </w:t>
            </w:r>
            <w:r w:rsidR="006C2B74" w:rsidRPr="0014164C">
              <w:rPr>
                <w:b/>
                <w:color w:val="FFFFFF" w:themeColor="background1"/>
                <w:sz w:val="18"/>
                <w:szCs w:val="18"/>
              </w:rPr>
              <w:t>Creative and Innovative Solutions</w:t>
            </w:r>
          </w:p>
        </w:tc>
        <w:tc>
          <w:tcPr>
            <w:tcW w:w="0" w:type="auto"/>
            <w:tcBorders>
              <w:bottom w:val="single" w:sz="4" w:space="0" w:color="auto"/>
            </w:tcBorders>
            <w:shd w:val="clear" w:color="auto" w:fill="008080"/>
            <w:vAlign w:val="center"/>
          </w:tcPr>
          <w:p w14:paraId="5F8F3193" w14:textId="649BEDDE" w:rsidR="006C2B74" w:rsidRPr="0014164C" w:rsidRDefault="009468C8" w:rsidP="009468C8">
            <w:pPr>
              <w:jc w:val="center"/>
              <w:rPr>
                <w:b/>
                <w:color w:val="FFFFFF" w:themeColor="background1"/>
                <w:sz w:val="18"/>
                <w:szCs w:val="18"/>
              </w:rPr>
            </w:pPr>
            <w:r>
              <w:rPr>
                <w:b/>
                <w:color w:val="FFFFFF" w:themeColor="background1"/>
                <w:sz w:val="18"/>
                <w:szCs w:val="18"/>
              </w:rPr>
              <w:t xml:space="preserve">4 – Regional </w:t>
            </w:r>
            <w:r w:rsidR="006C2B74" w:rsidRPr="0014164C">
              <w:rPr>
                <w:b/>
                <w:color w:val="FFFFFF" w:themeColor="background1"/>
                <w:sz w:val="18"/>
                <w:szCs w:val="18"/>
              </w:rPr>
              <w:t>Reflections / Service Delivery Models</w:t>
            </w:r>
          </w:p>
        </w:tc>
      </w:tr>
      <w:tr w:rsidR="006C2B74" w:rsidRPr="00F455F1" w14:paraId="7C15AFB2" w14:textId="77777777" w:rsidTr="00133019">
        <w:tc>
          <w:tcPr>
            <w:tcW w:w="0" w:type="auto"/>
            <w:shd w:val="clear" w:color="auto" w:fill="auto"/>
          </w:tcPr>
          <w:p w14:paraId="68945BDD" w14:textId="2A80C7D6" w:rsidR="006C2B74" w:rsidRPr="00F455F1" w:rsidRDefault="00F67FA2" w:rsidP="00F67FA2">
            <w:pPr>
              <w:spacing w:after="160" w:line="259" w:lineRule="auto"/>
              <w:rPr>
                <w:b/>
                <w:sz w:val="17"/>
                <w:szCs w:val="17"/>
              </w:rPr>
            </w:pPr>
            <w:r w:rsidRPr="00F455F1">
              <w:rPr>
                <w:b/>
                <w:sz w:val="17"/>
                <w:szCs w:val="17"/>
              </w:rPr>
              <w:t xml:space="preserve">Identify and create Indigenous programming and bring Indigenous knowledge to communities to promote the role of traditional forms of healing. </w:t>
            </w:r>
            <w:r w:rsidR="009468C8" w:rsidRPr="00F455F1">
              <w:rPr>
                <w:b/>
                <w:sz w:val="17"/>
                <w:szCs w:val="17"/>
              </w:rPr>
              <w:t>For example:</w:t>
            </w:r>
          </w:p>
          <w:p w14:paraId="6BFF3501" w14:textId="68C89303" w:rsidR="009468C8" w:rsidRPr="00F455F1" w:rsidRDefault="009468C8" w:rsidP="009468C8">
            <w:pPr>
              <w:pStyle w:val="ListParagraph"/>
              <w:numPr>
                <w:ilvl w:val="0"/>
                <w:numId w:val="24"/>
              </w:numPr>
              <w:spacing w:after="160" w:line="259" w:lineRule="auto"/>
              <w:rPr>
                <w:sz w:val="17"/>
                <w:szCs w:val="17"/>
              </w:rPr>
            </w:pPr>
            <w:r w:rsidRPr="00F455F1">
              <w:rPr>
                <w:sz w:val="17"/>
                <w:szCs w:val="17"/>
              </w:rPr>
              <w:t>Create a gathering space to focus on supporting health and wellbeing across the lifespan</w:t>
            </w:r>
          </w:p>
          <w:p w14:paraId="7146A03D" w14:textId="738BFCE5" w:rsidR="00AF3CD4" w:rsidRPr="00F455F1" w:rsidRDefault="00D02E10" w:rsidP="009468C8">
            <w:pPr>
              <w:pStyle w:val="ListParagraph"/>
              <w:numPr>
                <w:ilvl w:val="0"/>
                <w:numId w:val="24"/>
              </w:numPr>
              <w:spacing w:after="160" w:line="259" w:lineRule="auto"/>
              <w:rPr>
                <w:sz w:val="17"/>
                <w:szCs w:val="17"/>
              </w:rPr>
            </w:pPr>
            <w:r w:rsidRPr="00F455F1">
              <w:rPr>
                <w:sz w:val="17"/>
                <w:szCs w:val="17"/>
              </w:rPr>
              <w:t>S</w:t>
            </w:r>
            <w:r w:rsidR="00AF3CD4" w:rsidRPr="00F455F1">
              <w:rPr>
                <w:sz w:val="17"/>
                <w:szCs w:val="17"/>
              </w:rPr>
              <w:t>upport initiatives that are for Indigenous by Indigenous.</w:t>
            </w:r>
          </w:p>
          <w:p w14:paraId="6C776343" w14:textId="77777777" w:rsidR="00AF3CD4" w:rsidRPr="00F455F1" w:rsidRDefault="00AF3CD4" w:rsidP="009468C8">
            <w:pPr>
              <w:pStyle w:val="ListParagraph"/>
              <w:numPr>
                <w:ilvl w:val="0"/>
                <w:numId w:val="24"/>
              </w:numPr>
              <w:spacing w:after="160" w:line="259" w:lineRule="auto"/>
              <w:rPr>
                <w:sz w:val="17"/>
                <w:szCs w:val="17"/>
              </w:rPr>
            </w:pPr>
            <w:r w:rsidRPr="00F455F1">
              <w:rPr>
                <w:sz w:val="17"/>
                <w:szCs w:val="17"/>
              </w:rPr>
              <w:t>Provide outreach services</w:t>
            </w:r>
          </w:p>
          <w:p w14:paraId="0B1CE74A" w14:textId="2C564EE0" w:rsidR="009468C8" w:rsidRPr="00F455F1" w:rsidRDefault="00AF3CD4" w:rsidP="009468C8">
            <w:pPr>
              <w:pStyle w:val="ListParagraph"/>
              <w:numPr>
                <w:ilvl w:val="0"/>
                <w:numId w:val="24"/>
              </w:numPr>
              <w:spacing w:after="160" w:line="259" w:lineRule="auto"/>
              <w:rPr>
                <w:sz w:val="17"/>
                <w:szCs w:val="17"/>
              </w:rPr>
            </w:pPr>
            <w:r w:rsidRPr="00F455F1">
              <w:rPr>
                <w:sz w:val="17"/>
                <w:szCs w:val="17"/>
              </w:rPr>
              <w:t>Hold dialogues on harm reduction and OD with diverse stakeholders</w:t>
            </w:r>
          </w:p>
        </w:tc>
        <w:tc>
          <w:tcPr>
            <w:tcW w:w="0" w:type="auto"/>
            <w:shd w:val="clear" w:color="auto" w:fill="auto"/>
          </w:tcPr>
          <w:p w14:paraId="30344800" w14:textId="45F36A6E" w:rsidR="006C2B74" w:rsidRPr="00F455F1" w:rsidRDefault="009468C8" w:rsidP="009468C8">
            <w:pPr>
              <w:spacing w:after="160" w:line="259" w:lineRule="auto"/>
              <w:rPr>
                <w:b/>
                <w:sz w:val="17"/>
                <w:szCs w:val="17"/>
              </w:rPr>
            </w:pPr>
            <w:r w:rsidRPr="00F455F1">
              <w:rPr>
                <w:b/>
                <w:sz w:val="17"/>
                <w:szCs w:val="17"/>
              </w:rPr>
              <w:t>Convene local groups to exchange knowledge. For example:</w:t>
            </w:r>
          </w:p>
          <w:p w14:paraId="4403F2A5" w14:textId="77777777" w:rsidR="009468C8" w:rsidRPr="00F455F1" w:rsidRDefault="009468C8" w:rsidP="009468C8">
            <w:pPr>
              <w:pStyle w:val="ListParagraph"/>
              <w:numPr>
                <w:ilvl w:val="0"/>
                <w:numId w:val="23"/>
              </w:numPr>
              <w:spacing w:after="160" w:line="259" w:lineRule="auto"/>
              <w:rPr>
                <w:sz w:val="17"/>
                <w:szCs w:val="17"/>
              </w:rPr>
            </w:pPr>
            <w:r w:rsidRPr="00F455F1">
              <w:rPr>
                <w:sz w:val="17"/>
                <w:szCs w:val="17"/>
              </w:rPr>
              <w:t>Webinars, online discussion forums, meet ups, etc.</w:t>
            </w:r>
          </w:p>
          <w:p w14:paraId="285897DD" w14:textId="77777777" w:rsidR="002D1151" w:rsidRPr="00F455F1" w:rsidRDefault="009468C8" w:rsidP="002D1151">
            <w:pPr>
              <w:pStyle w:val="ListParagraph"/>
              <w:numPr>
                <w:ilvl w:val="0"/>
                <w:numId w:val="23"/>
              </w:numPr>
              <w:spacing w:after="160" w:line="259" w:lineRule="auto"/>
              <w:rPr>
                <w:sz w:val="17"/>
                <w:szCs w:val="17"/>
              </w:rPr>
            </w:pPr>
            <w:r w:rsidRPr="00F455F1">
              <w:rPr>
                <w:sz w:val="17"/>
                <w:szCs w:val="17"/>
              </w:rPr>
              <w:t xml:space="preserve">Develop &amp; support implementation of trauma-sensitive and sensitivity training within social service organizations and health authorities (including hospitals) </w:t>
            </w:r>
          </w:p>
          <w:p w14:paraId="64A3D455" w14:textId="69C93877" w:rsidR="002D1151" w:rsidRPr="00F455F1" w:rsidRDefault="002D1151" w:rsidP="002D1151">
            <w:pPr>
              <w:pStyle w:val="ListParagraph"/>
              <w:numPr>
                <w:ilvl w:val="0"/>
                <w:numId w:val="23"/>
              </w:numPr>
              <w:spacing w:after="160" w:line="259" w:lineRule="auto"/>
              <w:rPr>
                <w:sz w:val="17"/>
                <w:szCs w:val="17"/>
              </w:rPr>
            </w:pPr>
            <w:r w:rsidRPr="00F455F1">
              <w:rPr>
                <w:sz w:val="17"/>
                <w:szCs w:val="17"/>
              </w:rPr>
              <w:t>Create and offer peer-led sensitivity training (peer practices and approaches) for organizations working with peers.</w:t>
            </w:r>
          </w:p>
        </w:tc>
      </w:tr>
    </w:tbl>
    <w:p w14:paraId="699E2479" w14:textId="1FB91E0F" w:rsidR="00F455F1" w:rsidRPr="00A80641" w:rsidRDefault="00F455F1" w:rsidP="00A80641">
      <w:pPr>
        <w:widowControl/>
        <w:spacing w:after="160" w:line="259" w:lineRule="auto"/>
        <w:jc w:val="center"/>
        <w:rPr>
          <w:b/>
          <w:sz w:val="28"/>
          <w:szCs w:val="28"/>
        </w:rPr>
      </w:pPr>
    </w:p>
    <w:p w14:paraId="2E4ED221" w14:textId="7BC287A2" w:rsidR="00203D8A" w:rsidRPr="009468C8" w:rsidRDefault="00111FDD" w:rsidP="00C70FA9">
      <w:pPr>
        <w:widowControl/>
        <w:spacing w:after="160" w:line="259" w:lineRule="auto"/>
        <w:rPr>
          <w:b/>
          <w:color w:val="018EA5"/>
          <w:sz w:val="32"/>
          <w:szCs w:val="32"/>
        </w:rPr>
      </w:pPr>
      <w:r w:rsidRPr="009468C8">
        <w:rPr>
          <w:b/>
          <w:color w:val="018EA5"/>
          <w:sz w:val="32"/>
          <w:szCs w:val="32"/>
        </w:rPr>
        <w:lastRenderedPageBreak/>
        <w:t>Glossary</w:t>
      </w:r>
    </w:p>
    <w:p w14:paraId="155FBEBF" w14:textId="2F2055EE" w:rsidR="00D328D4" w:rsidRPr="00C70FA9" w:rsidRDefault="00203D8A" w:rsidP="00C70FA9">
      <w:pPr>
        <w:jc w:val="both"/>
        <w:rPr>
          <w:lang w:val="fr-FR" w:eastAsia="en-CA"/>
        </w:rPr>
      </w:pPr>
      <w:r w:rsidRPr="00C70FA9">
        <w:rPr>
          <w:b/>
          <w:color w:val="018EA5"/>
        </w:rPr>
        <w:t xml:space="preserve">Cultural Humility: </w:t>
      </w:r>
      <w:r w:rsidRPr="00C70FA9">
        <w:rPr>
          <w:lang w:val="en-CA" w:eastAsia="en-CA"/>
        </w:rPr>
        <w:t>Cultural humility is a process of self-reflection to understand personal and systemic biases and to develop and maintain respectful processes and relationships based on mutual trust. Cultural humility involves humbly acknowledging oneself as a learner when it comes to understanding another’s experience.</w:t>
      </w:r>
      <w:r w:rsidR="00D328D4" w:rsidRPr="00C70FA9">
        <w:rPr>
          <w:lang w:val="en-CA" w:eastAsia="en-CA"/>
        </w:rPr>
        <w:t xml:space="preserve"> </w:t>
      </w:r>
      <w:proofErr w:type="gramStart"/>
      <w:r w:rsidR="00D328D4" w:rsidRPr="00C70FA9">
        <w:rPr>
          <w:lang w:val="fr-FR"/>
        </w:rPr>
        <w:t>Source:</w:t>
      </w:r>
      <w:proofErr w:type="gramEnd"/>
      <w:r w:rsidR="00D328D4" w:rsidRPr="00C70FA9">
        <w:rPr>
          <w:lang w:val="fr-FR"/>
        </w:rPr>
        <w:t xml:space="preserve"> </w:t>
      </w:r>
      <w:hyperlink r:id="rId15" w:history="1">
        <w:r w:rsidR="00470D96" w:rsidRPr="00470D96">
          <w:rPr>
            <w:rStyle w:val="Hyperlink"/>
            <w:lang w:val="fr-FR"/>
          </w:rPr>
          <w:t>http://www.fnha.ca/Documents/FNHA-Cultural-Safety-and-Humility-Definitions.pdf</w:t>
        </w:r>
      </w:hyperlink>
    </w:p>
    <w:p w14:paraId="31B78B6F" w14:textId="270D31BF" w:rsidR="00D328D4" w:rsidRPr="00C70FA9" w:rsidRDefault="00D328D4" w:rsidP="00C70FA9">
      <w:pPr>
        <w:jc w:val="both"/>
        <w:rPr>
          <w:rFonts w:cstheme="minorHAnsi"/>
        </w:rPr>
      </w:pPr>
      <w:r w:rsidRPr="00C70FA9">
        <w:rPr>
          <w:b/>
          <w:color w:val="018EA5"/>
        </w:rPr>
        <w:t xml:space="preserve">Cultural Safety: </w:t>
      </w:r>
      <w:r w:rsidRPr="00C70FA9">
        <w:rPr>
          <w:lang w:val="en-CA" w:eastAsia="en-CA"/>
        </w:rPr>
        <w:t>Cultural safety is an outcome based on respectful engagement that recognizes and strives to address power imbalances inherent in the healthcare system. It results in an environment free of racism and discrimination, where people feel safe when receiving health care.</w:t>
      </w:r>
      <w:r w:rsidRPr="00C70FA9">
        <w:rPr>
          <w:rFonts w:cstheme="minorHAnsi"/>
        </w:rPr>
        <w:t xml:space="preserve"> Source: </w:t>
      </w:r>
      <w:hyperlink r:id="rId16" w:history="1">
        <w:r w:rsidRPr="00C70FA9">
          <w:rPr>
            <w:rStyle w:val="Hyperlink"/>
          </w:rPr>
          <w:t>http://www.fnha.ca/wellness/cultural-humility</w:t>
        </w:r>
      </w:hyperlink>
      <w:r w:rsidRPr="00C70FA9">
        <w:t xml:space="preserve"> </w:t>
      </w:r>
    </w:p>
    <w:p w14:paraId="1CF08BBE" w14:textId="36999BFD" w:rsidR="00203D8A" w:rsidRPr="00C70FA9" w:rsidRDefault="00203D8A" w:rsidP="00C70FA9">
      <w:pPr>
        <w:jc w:val="both"/>
        <w:rPr>
          <w:lang w:val="fr-FR"/>
        </w:rPr>
      </w:pPr>
      <w:r w:rsidRPr="00C70FA9">
        <w:rPr>
          <w:b/>
          <w:color w:val="018EA5"/>
        </w:rPr>
        <w:t xml:space="preserve">Health Equity: </w:t>
      </w:r>
      <w:r w:rsidRPr="00C70FA9">
        <w:t>Health equity exists when all people can reach their full health potential and are not disadvantaged from attaining it because of their race, ethnicity, religion, gender, age, social class, socioeconomic status, sexual orientation or other socially determined circumstance. Health inequities are health differences between population groups that are systematic, avoidable, and unfair.</w:t>
      </w:r>
      <w:r w:rsidR="00D328D4" w:rsidRPr="00C70FA9">
        <w:rPr>
          <w:b/>
          <w:color w:val="018EA5"/>
        </w:rPr>
        <w:t xml:space="preserve"> </w:t>
      </w:r>
      <w:proofErr w:type="gramStart"/>
      <w:r w:rsidRPr="00C70FA9">
        <w:rPr>
          <w:lang w:val="fr-FR"/>
        </w:rPr>
        <w:t>Source:</w:t>
      </w:r>
      <w:proofErr w:type="gramEnd"/>
      <w:r w:rsidRPr="00C70FA9">
        <w:rPr>
          <w:lang w:val="fr-FR"/>
        </w:rPr>
        <w:t xml:space="preserve"> </w:t>
      </w:r>
      <w:hyperlink r:id="rId17" w:history="1">
        <w:r w:rsidRPr="00C70FA9">
          <w:rPr>
            <w:rStyle w:val="Hyperlink"/>
            <w:lang w:val="fr-FR"/>
          </w:rPr>
          <w:t>www.bccdc.ca/health-info/prevention-public-health/health-equity</w:t>
        </w:r>
      </w:hyperlink>
      <w:r w:rsidRPr="00C70FA9">
        <w:rPr>
          <w:lang w:val="fr-FR"/>
        </w:rPr>
        <w:t xml:space="preserve"> </w:t>
      </w:r>
    </w:p>
    <w:p w14:paraId="2D6EA20A" w14:textId="5AA639CF" w:rsidR="00BC4A70" w:rsidRPr="00C70FA9" w:rsidRDefault="00BC4A70" w:rsidP="00C70FA9">
      <w:pPr>
        <w:jc w:val="both"/>
      </w:pPr>
      <w:r w:rsidRPr="00C70FA9">
        <w:rPr>
          <w:b/>
          <w:color w:val="018EA5"/>
        </w:rPr>
        <w:t xml:space="preserve">Lived or Living Experience: </w:t>
      </w:r>
      <w:r w:rsidRPr="00C70FA9">
        <w:t xml:space="preserve">this grant uses the </w:t>
      </w:r>
      <w:r w:rsidR="00753298" w:rsidRPr="00C70FA9">
        <w:t>phrase</w:t>
      </w:r>
      <w:r w:rsidRPr="00C70FA9">
        <w:t xml:space="preserve"> to describe individuals or family members who have lived/living experience of mental health and/or substance use challenges. </w:t>
      </w:r>
    </w:p>
    <w:p w14:paraId="553420D9" w14:textId="6D73C10E" w:rsidR="006B7382" w:rsidRDefault="00203D8A" w:rsidP="00C70FA9">
      <w:pPr>
        <w:jc w:val="both"/>
        <w:rPr>
          <w:rStyle w:val="Hyperlink"/>
        </w:rPr>
      </w:pPr>
      <w:r w:rsidRPr="00C70FA9">
        <w:rPr>
          <w:b/>
          <w:color w:val="018EA5"/>
        </w:rPr>
        <w:t xml:space="preserve">Wise Practices: </w:t>
      </w:r>
      <w:r w:rsidR="00753298" w:rsidRPr="00C70FA9">
        <w:t xml:space="preserve">This phrase is </w:t>
      </w:r>
      <w:r w:rsidRPr="00C70FA9">
        <w:t>widely used in Indigenous contexts to describe locally appropriate Indigenous actions that contribute to sustainable and equitable conditions. Wise practices are interventions and protocols that are reflective of Indigenous peoples’ worldview and ways of creating knowledge. Rather than only implementing practices that draw on a narrow range of research methodologies or only relying on practices that are exported from elsewhere, it is essential to learn from what is already working well in communities, based on their own Indigenous knowledge systems and experience. The notion of wise practices acknowledges that a ‘one size fits all’ best practices model is not always appropriate or effective.</w:t>
      </w:r>
      <w:r w:rsidR="00D328D4" w:rsidRPr="00C70FA9">
        <w:t xml:space="preserve"> </w:t>
      </w:r>
      <w:r w:rsidRPr="00C70FA9">
        <w:t xml:space="preserve">Source: </w:t>
      </w:r>
      <w:hyperlink r:id="rId18" w:history="1">
        <w:r w:rsidRPr="00C70FA9">
          <w:rPr>
            <w:rStyle w:val="Hyperlink"/>
          </w:rPr>
          <w:t>wisepractices.ca/</w:t>
        </w:r>
      </w:hyperlink>
    </w:p>
    <w:p w14:paraId="0CC22E33" w14:textId="459D8437" w:rsidR="00E80DA0" w:rsidRPr="00E80DA0" w:rsidRDefault="00E80DA0" w:rsidP="00C70FA9">
      <w:pPr>
        <w:jc w:val="both"/>
      </w:pPr>
    </w:p>
    <w:sectPr w:rsidR="00E80DA0" w:rsidRPr="00E80DA0" w:rsidSect="00D328D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4192F" w14:textId="77777777" w:rsidR="0008191A" w:rsidRDefault="0008191A" w:rsidP="00CC7691">
      <w:pPr>
        <w:spacing w:after="0" w:line="240" w:lineRule="auto"/>
      </w:pPr>
      <w:r>
        <w:separator/>
      </w:r>
    </w:p>
  </w:endnote>
  <w:endnote w:type="continuationSeparator" w:id="0">
    <w:p w14:paraId="30142E21" w14:textId="77777777" w:rsidR="0008191A" w:rsidRDefault="0008191A" w:rsidP="00CC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03518" w14:textId="77777777" w:rsidR="002D1151" w:rsidRDefault="002D1151">
    <w:pPr>
      <w:pStyle w:val="Footer"/>
    </w:pPr>
  </w:p>
  <w:p w14:paraId="516B3928" w14:textId="77777777" w:rsidR="002D1151" w:rsidRDefault="002D11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A24C" w14:textId="77777777" w:rsidR="002D1151" w:rsidRDefault="002D1151">
    <w:pPr>
      <w:pStyle w:val="Footer"/>
      <w:jc w:val="right"/>
    </w:pPr>
  </w:p>
  <w:sdt>
    <w:sdtPr>
      <w:id w:val="-876926236"/>
      <w:docPartObj>
        <w:docPartGallery w:val="Page Numbers (Bottom of Page)"/>
        <w:docPartUnique/>
      </w:docPartObj>
    </w:sdtPr>
    <w:sdtEndPr/>
    <w:sdtContent>
      <w:sdt>
        <w:sdtPr>
          <w:id w:val="-1153914349"/>
          <w:docPartObj>
            <w:docPartGallery w:val="Page Numbers (Top of Page)"/>
            <w:docPartUnique/>
          </w:docPartObj>
        </w:sdtPr>
        <w:sdtEndPr/>
        <w:sdtContent>
          <w:p w14:paraId="140DF8D7" w14:textId="7CB052EF" w:rsidR="002D1151" w:rsidRPr="003738C6" w:rsidRDefault="002D1151">
            <w:pPr>
              <w:pStyle w:val="Footer"/>
              <w:jc w:val="right"/>
            </w:pPr>
            <w:r w:rsidRPr="003738C6">
              <w:t xml:space="preserve">Page </w:t>
            </w:r>
            <w:r w:rsidRPr="003738C6">
              <w:rPr>
                <w:bCs/>
              </w:rPr>
              <w:fldChar w:fldCharType="begin"/>
            </w:r>
            <w:r w:rsidRPr="003738C6">
              <w:rPr>
                <w:bCs/>
              </w:rPr>
              <w:instrText xml:space="preserve"> PAGE </w:instrText>
            </w:r>
            <w:r w:rsidRPr="003738C6">
              <w:rPr>
                <w:bCs/>
              </w:rPr>
              <w:fldChar w:fldCharType="separate"/>
            </w:r>
            <w:r w:rsidR="00B01987">
              <w:rPr>
                <w:bCs/>
                <w:noProof/>
              </w:rPr>
              <w:t>1</w:t>
            </w:r>
            <w:r w:rsidRPr="003738C6">
              <w:rPr>
                <w:bCs/>
              </w:rPr>
              <w:fldChar w:fldCharType="end"/>
            </w:r>
            <w:r w:rsidRPr="003738C6">
              <w:t xml:space="preserve"> of </w:t>
            </w:r>
            <w:r w:rsidRPr="003738C6">
              <w:rPr>
                <w:bCs/>
              </w:rPr>
              <w:fldChar w:fldCharType="begin"/>
            </w:r>
            <w:r w:rsidRPr="003738C6">
              <w:rPr>
                <w:bCs/>
              </w:rPr>
              <w:instrText xml:space="preserve"> NUMPAGES  </w:instrText>
            </w:r>
            <w:r w:rsidRPr="003738C6">
              <w:rPr>
                <w:bCs/>
              </w:rPr>
              <w:fldChar w:fldCharType="separate"/>
            </w:r>
            <w:r w:rsidR="00B01987">
              <w:rPr>
                <w:bCs/>
                <w:noProof/>
              </w:rPr>
              <w:t>7</w:t>
            </w:r>
            <w:r w:rsidRPr="003738C6">
              <w:rPr>
                <w:bCs/>
              </w:rPr>
              <w:fldChar w:fldCharType="end"/>
            </w:r>
          </w:p>
        </w:sdtContent>
      </w:sdt>
    </w:sdtContent>
  </w:sdt>
  <w:p w14:paraId="5B28D13D" w14:textId="77777777" w:rsidR="002D1151" w:rsidRPr="003738C6" w:rsidRDefault="002D1151">
    <w:pPr>
      <w:pStyle w:val="Footer"/>
    </w:pPr>
  </w:p>
  <w:p w14:paraId="6D6E61EB" w14:textId="77777777" w:rsidR="002D1151" w:rsidRDefault="002D11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764F" w14:textId="77777777" w:rsidR="0008191A" w:rsidRDefault="0008191A" w:rsidP="00CC7691">
      <w:pPr>
        <w:spacing w:after="0" w:line="240" w:lineRule="auto"/>
      </w:pPr>
      <w:r>
        <w:separator/>
      </w:r>
    </w:p>
  </w:footnote>
  <w:footnote w:type="continuationSeparator" w:id="0">
    <w:p w14:paraId="6047287C" w14:textId="77777777" w:rsidR="0008191A" w:rsidRDefault="0008191A" w:rsidP="00CC7691">
      <w:pPr>
        <w:spacing w:after="0" w:line="240" w:lineRule="auto"/>
      </w:pPr>
      <w:r>
        <w:continuationSeparator/>
      </w:r>
    </w:p>
  </w:footnote>
  <w:footnote w:id="1">
    <w:p w14:paraId="19403066" w14:textId="77777777" w:rsidR="002D1151" w:rsidRPr="006553AD" w:rsidRDefault="002D1151" w:rsidP="00DF14FF">
      <w:pPr>
        <w:pStyle w:val="FootnoteText"/>
        <w:ind w:left="90" w:hanging="90"/>
        <w:rPr>
          <w:rFonts w:asciiTheme="majorHAnsi" w:hAnsiTheme="majorHAnsi"/>
          <w:sz w:val="18"/>
          <w:szCs w:val="18"/>
        </w:rPr>
      </w:pPr>
      <w:r w:rsidRPr="004739B0">
        <w:rPr>
          <w:rStyle w:val="FootnoteReference"/>
          <w:sz w:val="18"/>
          <w:szCs w:val="18"/>
        </w:rPr>
        <w:footnoteRef/>
      </w:r>
      <w:r w:rsidRPr="004739B0">
        <w:rPr>
          <w:sz w:val="18"/>
          <w:szCs w:val="18"/>
        </w:rPr>
        <w:t xml:space="preserve"> BC Coroners Service, BC Ministry of Public Safety and Solicitor General. </w:t>
      </w:r>
      <w:r w:rsidRPr="004739B0">
        <w:rPr>
          <w:i/>
          <w:iCs/>
          <w:sz w:val="18"/>
          <w:szCs w:val="18"/>
        </w:rPr>
        <w:t>Illicit Drug Overdose Deaths in BC: January 1, 2008 – April 30, 2020</w:t>
      </w:r>
      <w:r w:rsidRPr="004739B0">
        <w:rPr>
          <w:sz w:val="18"/>
          <w:szCs w:val="18"/>
        </w:rPr>
        <w:t xml:space="preserve">. Victoria: BC Coroner’s Service; 2020. </w:t>
      </w:r>
      <w:hyperlink r:id="rId1" w:history="1">
        <w:r w:rsidRPr="00D1597F">
          <w:rPr>
            <w:rStyle w:val="Hyperlink"/>
            <w:sz w:val="18"/>
            <w:szCs w:val="18"/>
          </w:rPr>
          <w:t>https://www2.gov.bc.ca/assets/gov/birth-adoption-death-marriage-and-divorce/deaths/coroners-service/statistical/illicit-drug.pdf</w:t>
        </w:r>
      </w:hyperlink>
      <w:r>
        <w:rPr>
          <w:sz w:val="18"/>
          <w:szCs w:val="18"/>
        </w:rPr>
        <w:t xml:space="preserve"> </w:t>
      </w:r>
    </w:p>
  </w:footnote>
  <w:footnote w:id="2">
    <w:p w14:paraId="174CE2B9" w14:textId="77777777" w:rsidR="002D1151" w:rsidRPr="00BF6E40" w:rsidRDefault="002D1151" w:rsidP="002D1151">
      <w:pPr>
        <w:pStyle w:val="FootnoteText"/>
        <w:rPr>
          <w:rFonts w:asciiTheme="majorHAnsi" w:hAnsiTheme="majorHAnsi"/>
        </w:rPr>
      </w:pPr>
      <w:r w:rsidRPr="00BF6E40">
        <w:rPr>
          <w:rStyle w:val="FootnoteReference"/>
          <w:rFonts w:asciiTheme="majorHAnsi" w:hAnsiTheme="majorHAnsi"/>
        </w:rPr>
        <w:footnoteRef/>
      </w:r>
      <w:r w:rsidRPr="00BF6E40">
        <w:rPr>
          <w:rFonts w:asciiTheme="majorHAnsi" w:hAnsiTheme="majorHAnsi"/>
        </w:rPr>
        <w:t xml:space="preserve"> </w:t>
      </w:r>
      <w:hyperlink r:id="rId2" w:history="1">
        <w:r w:rsidRPr="00BF6E40">
          <w:rPr>
            <w:rStyle w:val="Hyperlink"/>
            <w:rFonts w:asciiTheme="majorHAnsi" w:hAnsiTheme="majorHAnsi" w:cstheme="minorHAnsi"/>
          </w:rPr>
          <w:t>www.bccdc.ca/resource-gallery/Documents/Educational%20Materials/Epid/Other/peer_payment-guide_2018.pdf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4AA70" w14:textId="77777777" w:rsidR="002D1151" w:rsidRDefault="002D1151">
    <w:pPr>
      <w:pStyle w:val="Header"/>
    </w:pPr>
  </w:p>
  <w:p w14:paraId="4A2A9ECD" w14:textId="77777777" w:rsidR="002D1151" w:rsidRDefault="002D1151"/>
  <w:p w14:paraId="601AEA86" w14:textId="39FE4B12" w:rsidR="002D1151" w:rsidRDefault="002D1151" w:rsidP="00C5341C">
    <w:pPr>
      <w:pStyle w:val="Header"/>
      <w:tabs>
        <w:tab w:val="clear" w:pos="4680"/>
        <w:tab w:val="clear" w:pos="9360"/>
        <w:tab w:val="left" w:pos="4185"/>
      </w:tabs>
    </w:pPr>
    <w:r w:rsidRPr="00620AB1">
      <w:rPr>
        <w:noProof/>
        <w:sz w:val="20"/>
        <w:szCs w:val="20"/>
      </w:rPr>
      <w:drawing>
        <wp:inline distT="0" distB="0" distL="0" distR="0" wp14:anchorId="3F22E80E" wp14:editId="38F60CB9">
          <wp:extent cx="3500887" cy="608541"/>
          <wp:effectExtent l="0" t="0" r="444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 Logo.jpg"/>
                  <pic:cNvPicPr/>
                </pic:nvPicPr>
                <pic:blipFill>
                  <a:blip r:embed="rId1">
                    <a:extLst>
                      <a:ext uri="{28A0092B-C50C-407E-A947-70E740481C1C}">
                        <a14:useLocalDpi xmlns:a14="http://schemas.microsoft.com/office/drawing/2010/main" val="0"/>
                      </a:ext>
                    </a:extLst>
                  </a:blip>
                  <a:stretch>
                    <a:fillRect/>
                  </a:stretch>
                </pic:blipFill>
                <pic:spPr>
                  <a:xfrm>
                    <a:off x="0" y="0"/>
                    <a:ext cx="3544912" cy="616194"/>
                  </a:xfrm>
                  <a:prstGeom prst="rect">
                    <a:avLst/>
                  </a:prstGeom>
                </pic:spPr>
              </pic:pic>
            </a:graphicData>
          </a:graphic>
        </wp:inline>
      </w:drawing>
    </w:r>
    <w:r>
      <w:t xml:space="preserve">               </w:t>
    </w:r>
    <w:r>
      <w:rPr>
        <w:noProof/>
      </w:rPr>
      <w:drawing>
        <wp:inline distT="0" distB="0" distL="0" distR="0" wp14:anchorId="7AD4F9EB" wp14:editId="05DFAB77">
          <wp:extent cx="2095500" cy="813432"/>
          <wp:effectExtent l="0" t="0" r="0" b="6350"/>
          <wp:docPr id="22" name="Picture 1" descr="C:\Users\jchant\AppData\Local\Microsoft\Windows\Temporary Internet Files\Content.Outlook\T8PD6PWC\BCID_H_cmyk_pos (4).jpg"/>
          <wp:cNvGraphicFramePr/>
          <a:graphic xmlns:a="http://schemas.openxmlformats.org/drawingml/2006/main">
            <a:graphicData uri="http://schemas.openxmlformats.org/drawingml/2006/picture">
              <pic:pic xmlns:pic="http://schemas.openxmlformats.org/drawingml/2006/picture">
                <pic:nvPicPr>
                  <pic:cNvPr id="2" name="Picture 1" descr="C:\Users\jchant\AppData\Local\Microsoft\Windows\Temporary Internet Files\Content.Outlook\T8PD6PWC\BCID_H_cmyk_pos (4).jpg"/>
                  <pic:cNvPicPr/>
                </pic:nvPicPr>
                <pic:blipFill>
                  <a:blip r:embed="rId2"/>
                  <a:srcRect/>
                  <a:stretch>
                    <a:fillRect/>
                  </a:stretch>
                </pic:blipFill>
                <pic:spPr bwMode="auto">
                  <a:xfrm>
                    <a:off x="0" y="0"/>
                    <a:ext cx="2107844" cy="81822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F09E" w14:textId="6B92BC51" w:rsidR="002D1151" w:rsidRDefault="002D1151" w:rsidP="00C5341C">
    <w:pPr>
      <w:pStyle w:val="Header"/>
      <w:tabs>
        <w:tab w:val="clear" w:pos="4680"/>
        <w:tab w:val="clear" w:pos="9360"/>
        <w:tab w:val="left" w:pos="4185"/>
      </w:tabs>
    </w:pPr>
    <w:bookmarkStart w:id="2" w:name="_Hlk5782338"/>
    <w:r w:rsidRPr="00620AB1">
      <w:rPr>
        <w:noProof/>
        <w:sz w:val="20"/>
        <w:szCs w:val="20"/>
      </w:rPr>
      <w:drawing>
        <wp:inline distT="0" distB="0" distL="0" distR="0" wp14:anchorId="3F22E80E" wp14:editId="38F60CB9">
          <wp:extent cx="3500887" cy="608541"/>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 Logo.jpg"/>
                  <pic:cNvPicPr/>
                </pic:nvPicPr>
                <pic:blipFill>
                  <a:blip r:embed="rId1">
                    <a:extLst>
                      <a:ext uri="{28A0092B-C50C-407E-A947-70E740481C1C}">
                        <a14:useLocalDpi xmlns:a14="http://schemas.microsoft.com/office/drawing/2010/main" val="0"/>
                      </a:ext>
                    </a:extLst>
                  </a:blip>
                  <a:stretch>
                    <a:fillRect/>
                  </a:stretch>
                </pic:blipFill>
                <pic:spPr>
                  <a:xfrm>
                    <a:off x="0" y="0"/>
                    <a:ext cx="3544912" cy="616194"/>
                  </a:xfrm>
                  <a:prstGeom prst="rect">
                    <a:avLst/>
                  </a:prstGeom>
                </pic:spPr>
              </pic:pic>
            </a:graphicData>
          </a:graphic>
        </wp:inline>
      </w:drawing>
    </w:r>
    <w:r>
      <w:t xml:space="preserve">               </w:t>
    </w:r>
    <w:r>
      <w:rPr>
        <w:noProof/>
      </w:rPr>
      <w:drawing>
        <wp:inline distT="0" distB="0" distL="0" distR="0" wp14:anchorId="7AD4F9EB" wp14:editId="05DFAB77">
          <wp:extent cx="2095500" cy="813432"/>
          <wp:effectExtent l="0" t="0" r="0" b="6350"/>
          <wp:docPr id="2" name="Picture 1" descr="C:\Users\jchant\AppData\Local\Microsoft\Windows\Temporary Internet Files\Content.Outlook\T8PD6PWC\BCID_H_cmyk_pos (4).jpg"/>
          <wp:cNvGraphicFramePr/>
          <a:graphic xmlns:a="http://schemas.openxmlformats.org/drawingml/2006/main">
            <a:graphicData uri="http://schemas.openxmlformats.org/drawingml/2006/picture">
              <pic:pic xmlns:pic="http://schemas.openxmlformats.org/drawingml/2006/picture">
                <pic:nvPicPr>
                  <pic:cNvPr id="2" name="Picture 1" descr="C:\Users\jchant\AppData\Local\Microsoft\Windows\Temporary Internet Files\Content.Outlook\T8PD6PWC\BCID_H_cmyk_pos (4).jpg"/>
                  <pic:cNvPicPr/>
                </pic:nvPicPr>
                <pic:blipFill>
                  <a:blip r:embed="rId2"/>
                  <a:srcRect/>
                  <a:stretch>
                    <a:fillRect/>
                  </a:stretch>
                </pic:blipFill>
                <pic:spPr bwMode="auto">
                  <a:xfrm>
                    <a:off x="0" y="0"/>
                    <a:ext cx="2107844" cy="818224"/>
                  </a:xfrm>
                  <a:prstGeom prst="rect">
                    <a:avLst/>
                  </a:prstGeom>
                  <a:noFill/>
                  <a:ln w="9525">
                    <a:noFill/>
                    <a:miter lim="800000"/>
                    <a:headEnd/>
                    <a:tailEnd/>
                  </a:ln>
                </pic:spPr>
              </pic:pic>
            </a:graphicData>
          </a:graphic>
        </wp:inline>
      </w:drawing>
    </w:r>
  </w:p>
  <w:bookmarkEnd w:id="2"/>
  <w:p w14:paraId="590713CE" w14:textId="77777777" w:rsidR="002D1151" w:rsidRDefault="002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0BB2C7F"/>
    <w:multiLevelType w:val="hybridMultilevel"/>
    <w:tmpl w:val="A0EADB2A"/>
    <w:lvl w:ilvl="0" w:tplc="ED4658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45326"/>
    <w:multiLevelType w:val="hybridMultilevel"/>
    <w:tmpl w:val="1004C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30EC8"/>
    <w:multiLevelType w:val="hybridMultilevel"/>
    <w:tmpl w:val="63A2D7E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7B26BCA"/>
    <w:multiLevelType w:val="hybridMultilevel"/>
    <w:tmpl w:val="6C9E7768"/>
    <w:lvl w:ilvl="0" w:tplc="ED4658A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3D639C"/>
    <w:multiLevelType w:val="hybridMultilevel"/>
    <w:tmpl w:val="54AA806E"/>
    <w:lvl w:ilvl="0" w:tplc="0686A1D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F10DF3"/>
    <w:multiLevelType w:val="hybridMultilevel"/>
    <w:tmpl w:val="9DC4E63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22A0DE7"/>
    <w:multiLevelType w:val="hybridMultilevel"/>
    <w:tmpl w:val="1A104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958D2"/>
    <w:multiLevelType w:val="hybridMultilevel"/>
    <w:tmpl w:val="65D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05169"/>
    <w:multiLevelType w:val="hybridMultilevel"/>
    <w:tmpl w:val="31F055B4"/>
    <w:lvl w:ilvl="0" w:tplc="BF0004AE">
      <w:start w:val="1"/>
      <w:numFmt w:val="bullet"/>
      <w:lvlText w:val=""/>
      <w:lvlJc w:val="left"/>
      <w:pPr>
        <w:ind w:left="360" w:hanging="360"/>
      </w:pPr>
      <w:rPr>
        <w:rFonts w:ascii="Wingdings" w:hAnsi="Wingdings"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92429E7"/>
    <w:multiLevelType w:val="hybridMultilevel"/>
    <w:tmpl w:val="6FDA5D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CB6288A"/>
    <w:multiLevelType w:val="hybridMultilevel"/>
    <w:tmpl w:val="2B76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C3559"/>
    <w:multiLevelType w:val="hybridMultilevel"/>
    <w:tmpl w:val="7608B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35207"/>
    <w:multiLevelType w:val="hybridMultilevel"/>
    <w:tmpl w:val="49CEC2C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D9F6797"/>
    <w:multiLevelType w:val="hybridMultilevel"/>
    <w:tmpl w:val="881E8F3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11703D5"/>
    <w:multiLevelType w:val="hybridMultilevel"/>
    <w:tmpl w:val="DF463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03862"/>
    <w:multiLevelType w:val="hybridMultilevel"/>
    <w:tmpl w:val="D42078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BD5FEB"/>
    <w:multiLevelType w:val="hybridMultilevel"/>
    <w:tmpl w:val="19B20618"/>
    <w:lvl w:ilvl="0" w:tplc="ED4658A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44E301E5"/>
    <w:multiLevelType w:val="hybridMultilevel"/>
    <w:tmpl w:val="ACD60916"/>
    <w:lvl w:ilvl="0" w:tplc="F2845E10">
      <w:numFmt w:val="bullet"/>
      <w:lvlText w:val=""/>
      <w:lvlJc w:val="left"/>
      <w:pPr>
        <w:ind w:left="720" w:hanging="360"/>
      </w:pPr>
      <w:rPr>
        <w:rFonts w:ascii="Symbol" w:eastAsia="Times New Roman" w:hAnsi="Symbol"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93124CF"/>
    <w:multiLevelType w:val="hybridMultilevel"/>
    <w:tmpl w:val="43883DF2"/>
    <w:lvl w:ilvl="0" w:tplc="222E9E9E">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D98173D"/>
    <w:multiLevelType w:val="hybridMultilevel"/>
    <w:tmpl w:val="72EA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F257F"/>
    <w:multiLevelType w:val="hybridMultilevel"/>
    <w:tmpl w:val="8974C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9C0A7D"/>
    <w:multiLevelType w:val="hybridMultilevel"/>
    <w:tmpl w:val="32EA8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9D029A"/>
    <w:multiLevelType w:val="hybridMultilevel"/>
    <w:tmpl w:val="FB663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8C663C"/>
    <w:multiLevelType w:val="hybridMultilevel"/>
    <w:tmpl w:val="A0D809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9E57F7"/>
    <w:multiLevelType w:val="hybridMultilevel"/>
    <w:tmpl w:val="D45C434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C0252E7"/>
    <w:multiLevelType w:val="hybridMultilevel"/>
    <w:tmpl w:val="4274E37E"/>
    <w:lvl w:ilvl="0" w:tplc="0686A1D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634B95"/>
    <w:multiLevelType w:val="hybridMultilevel"/>
    <w:tmpl w:val="A9E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632C"/>
    <w:multiLevelType w:val="hybridMultilevel"/>
    <w:tmpl w:val="CC56B4A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9"/>
  </w:num>
  <w:num w:numId="3">
    <w:abstractNumId w:val="19"/>
  </w:num>
  <w:num w:numId="4">
    <w:abstractNumId w:val="18"/>
  </w:num>
  <w:num w:numId="5">
    <w:abstractNumId w:val="24"/>
  </w:num>
  <w:num w:numId="6">
    <w:abstractNumId w:val="5"/>
  </w:num>
  <w:num w:numId="7">
    <w:abstractNumId w:val="7"/>
  </w:num>
  <w:num w:numId="8">
    <w:abstractNumId w:val="20"/>
  </w:num>
  <w:num w:numId="9">
    <w:abstractNumId w:val="11"/>
  </w:num>
  <w:num w:numId="10">
    <w:abstractNumId w:val="6"/>
  </w:num>
  <w:num w:numId="11">
    <w:abstractNumId w:val="10"/>
  </w:num>
  <w:num w:numId="12">
    <w:abstractNumId w:val="13"/>
  </w:num>
  <w:num w:numId="13">
    <w:abstractNumId w:val="28"/>
  </w:num>
  <w:num w:numId="14">
    <w:abstractNumId w:val="25"/>
  </w:num>
  <w:num w:numId="15">
    <w:abstractNumId w:val="2"/>
  </w:num>
  <w:num w:numId="16">
    <w:abstractNumId w:val="8"/>
  </w:num>
  <w:num w:numId="17">
    <w:abstractNumId w:val="27"/>
  </w:num>
  <w:num w:numId="18">
    <w:abstractNumId w:val="23"/>
  </w:num>
  <w:num w:numId="19">
    <w:abstractNumId w:val="12"/>
  </w:num>
  <w:num w:numId="20">
    <w:abstractNumId w:val="17"/>
  </w:num>
  <w:num w:numId="21">
    <w:abstractNumId w:val="16"/>
  </w:num>
  <w:num w:numId="22">
    <w:abstractNumId w:val="1"/>
  </w:num>
  <w:num w:numId="23">
    <w:abstractNumId w:val="21"/>
  </w:num>
  <w:num w:numId="24">
    <w:abstractNumId w:val="22"/>
  </w:num>
  <w:num w:numId="25">
    <w:abstractNumId w:val="14"/>
  </w:num>
  <w:num w:numId="26">
    <w:abstractNumId w:val="3"/>
  </w:num>
  <w:num w:numId="27">
    <w:abstractNumId w:val="15"/>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91"/>
    <w:rsid w:val="00004465"/>
    <w:rsid w:val="000047F3"/>
    <w:rsid w:val="00036293"/>
    <w:rsid w:val="000625B2"/>
    <w:rsid w:val="00070C70"/>
    <w:rsid w:val="00071518"/>
    <w:rsid w:val="00074453"/>
    <w:rsid w:val="0008191A"/>
    <w:rsid w:val="00084D1A"/>
    <w:rsid w:val="00091CA5"/>
    <w:rsid w:val="000A0282"/>
    <w:rsid w:val="000A2231"/>
    <w:rsid w:val="000B3C9B"/>
    <w:rsid w:val="000B67F9"/>
    <w:rsid w:val="000C6F4D"/>
    <w:rsid w:val="000D4314"/>
    <w:rsid w:val="000D5D4E"/>
    <w:rsid w:val="00103B82"/>
    <w:rsid w:val="00103BF0"/>
    <w:rsid w:val="00111FDD"/>
    <w:rsid w:val="00115694"/>
    <w:rsid w:val="00116A7E"/>
    <w:rsid w:val="001326FE"/>
    <w:rsid w:val="00133019"/>
    <w:rsid w:val="0014164C"/>
    <w:rsid w:val="00162B80"/>
    <w:rsid w:val="00175694"/>
    <w:rsid w:val="00175FB5"/>
    <w:rsid w:val="00182E82"/>
    <w:rsid w:val="00185A78"/>
    <w:rsid w:val="001871BB"/>
    <w:rsid w:val="0019264F"/>
    <w:rsid w:val="001975B4"/>
    <w:rsid w:val="001A0393"/>
    <w:rsid w:val="001B24B5"/>
    <w:rsid w:val="001B3375"/>
    <w:rsid w:val="001C18E7"/>
    <w:rsid w:val="001D4DCB"/>
    <w:rsid w:val="001D6363"/>
    <w:rsid w:val="001E3A85"/>
    <w:rsid w:val="001E77F7"/>
    <w:rsid w:val="001F43EE"/>
    <w:rsid w:val="00203D8A"/>
    <w:rsid w:val="00203F11"/>
    <w:rsid w:val="0020780A"/>
    <w:rsid w:val="00210DC5"/>
    <w:rsid w:val="00224B91"/>
    <w:rsid w:val="002269FD"/>
    <w:rsid w:val="00227D46"/>
    <w:rsid w:val="00230391"/>
    <w:rsid w:val="00235426"/>
    <w:rsid w:val="00250B3C"/>
    <w:rsid w:val="002579EB"/>
    <w:rsid w:val="00260CB5"/>
    <w:rsid w:val="00284D1D"/>
    <w:rsid w:val="002A01D0"/>
    <w:rsid w:val="002A1A6A"/>
    <w:rsid w:val="002C09CB"/>
    <w:rsid w:val="002D01B2"/>
    <w:rsid w:val="002D1151"/>
    <w:rsid w:val="002D200B"/>
    <w:rsid w:val="002D3F71"/>
    <w:rsid w:val="002E75F4"/>
    <w:rsid w:val="002F2990"/>
    <w:rsid w:val="002F4CDC"/>
    <w:rsid w:val="00313F37"/>
    <w:rsid w:val="003160E7"/>
    <w:rsid w:val="003444BB"/>
    <w:rsid w:val="0035419F"/>
    <w:rsid w:val="003738C6"/>
    <w:rsid w:val="00376462"/>
    <w:rsid w:val="003A1DE5"/>
    <w:rsid w:val="003A49F0"/>
    <w:rsid w:val="003B19A6"/>
    <w:rsid w:val="003B5DF9"/>
    <w:rsid w:val="003C62B8"/>
    <w:rsid w:val="003D6009"/>
    <w:rsid w:val="003D67D5"/>
    <w:rsid w:val="003E34A4"/>
    <w:rsid w:val="003E7ADC"/>
    <w:rsid w:val="003F2C6C"/>
    <w:rsid w:val="003F3063"/>
    <w:rsid w:val="00417D35"/>
    <w:rsid w:val="004337AE"/>
    <w:rsid w:val="0043427C"/>
    <w:rsid w:val="0044702A"/>
    <w:rsid w:val="00470D96"/>
    <w:rsid w:val="00473BB3"/>
    <w:rsid w:val="00484BBD"/>
    <w:rsid w:val="00493CDE"/>
    <w:rsid w:val="004A03E5"/>
    <w:rsid w:val="004A2181"/>
    <w:rsid w:val="004A3425"/>
    <w:rsid w:val="004B196B"/>
    <w:rsid w:val="004C04A5"/>
    <w:rsid w:val="004C1248"/>
    <w:rsid w:val="004C7F29"/>
    <w:rsid w:val="004E5724"/>
    <w:rsid w:val="004E77EB"/>
    <w:rsid w:val="004E7F04"/>
    <w:rsid w:val="004F1B94"/>
    <w:rsid w:val="004F1DB5"/>
    <w:rsid w:val="004F277D"/>
    <w:rsid w:val="004F3B4E"/>
    <w:rsid w:val="005015FC"/>
    <w:rsid w:val="00504781"/>
    <w:rsid w:val="0050609F"/>
    <w:rsid w:val="005459BE"/>
    <w:rsid w:val="00561558"/>
    <w:rsid w:val="00576761"/>
    <w:rsid w:val="00577BAF"/>
    <w:rsid w:val="00580643"/>
    <w:rsid w:val="00583B19"/>
    <w:rsid w:val="0059013F"/>
    <w:rsid w:val="005910C9"/>
    <w:rsid w:val="00594B95"/>
    <w:rsid w:val="00595B7D"/>
    <w:rsid w:val="005C5E58"/>
    <w:rsid w:val="005C6644"/>
    <w:rsid w:val="005D0116"/>
    <w:rsid w:val="0060011A"/>
    <w:rsid w:val="00600AD0"/>
    <w:rsid w:val="00611639"/>
    <w:rsid w:val="00611D6D"/>
    <w:rsid w:val="00614B0A"/>
    <w:rsid w:val="0061676F"/>
    <w:rsid w:val="00620158"/>
    <w:rsid w:val="00621A81"/>
    <w:rsid w:val="00625D8A"/>
    <w:rsid w:val="00626A99"/>
    <w:rsid w:val="006347BF"/>
    <w:rsid w:val="00641259"/>
    <w:rsid w:val="006512C0"/>
    <w:rsid w:val="00657468"/>
    <w:rsid w:val="0066146E"/>
    <w:rsid w:val="00663293"/>
    <w:rsid w:val="006713E9"/>
    <w:rsid w:val="00680CD2"/>
    <w:rsid w:val="0069025E"/>
    <w:rsid w:val="006A32B1"/>
    <w:rsid w:val="006A484D"/>
    <w:rsid w:val="006B643B"/>
    <w:rsid w:val="006B6C69"/>
    <w:rsid w:val="006B7382"/>
    <w:rsid w:val="006C2648"/>
    <w:rsid w:val="006C2B74"/>
    <w:rsid w:val="006C451D"/>
    <w:rsid w:val="006D4E92"/>
    <w:rsid w:val="006E2518"/>
    <w:rsid w:val="006E78D0"/>
    <w:rsid w:val="0070289D"/>
    <w:rsid w:val="00704EFD"/>
    <w:rsid w:val="007231CB"/>
    <w:rsid w:val="00724C53"/>
    <w:rsid w:val="00734AB5"/>
    <w:rsid w:val="00753298"/>
    <w:rsid w:val="00766F96"/>
    <w:rsid w:val="007675AC"/>
    <w:rsid w:val="007850C9"/>
    <w:rsid w:val="007850E3"/>
    <w:rsid w:val="00785C9E"/>
    <w:rsid w:val="00794DED"/>
    <w:rsid w:val="00797668"/>
    <w:rsid w:val="007A1AE4"/>
    <w:rsid w:val="007A6EF0"/>
    <w:rsid w:val="007A755B"/>
    <w:rsid w:val="007C3A27"/>
    <w:rsid w:val="007D01B8"/>
    <w:rsid w:val="007D6A5E"/>
    <w:rsid w:val="007E7504"/>
    <w:rsid w:val="007F3919"/>
    <w:rsid w:val="008159E0"/>
    <w:rsid w:val="00815CCB"/>
    <w:rsid w:val="00825504"/>
    <w:rsid w:val="00834245"/>
    <w:rsid w:val="0083638B"/>
    <w:rsid w:val="00842A11"/>
    <w:rsid w:val="00843BD8"/>
    <w:rsid w:val="00864E4A"/>
    <w:rsid w:val="00867BE0"/>
    <w:rsid w:val="008703BA"/>
    <w:rsid w:val="00876E9B"/>
    <w:rsid w:val="008A5C21"/>
    <w:rsid w:val="008C4735"/>
    <w:rsid w:val="008D0515"/>
    <w:rsid w:val="008D422B"/>
    <w:rsid w:val="008E2F3B"/>
    <w:rsid w:val="008E5F43"/>
    <w:rsid w:val="008E72B6"/>
    <w:rsid w:val="008F214E"/>
    <w:rsid w:val="008F4BD7"/>
    <w:rsid w:val="009018DC"/>
    <w:rsid w:val="009025D0"/>
    <w:rsid w:val="009044C2"/>
    <w:rsid w:val="0090727A"/>
    <w:rsid w:val="00910726"/>
    <w:rsid w:val="009468C8"/>
    <w:rsid w:val="00954EF5"/>
    <w:rsid w:val="00956CD9"/>
    <w:rsid w:val="009731D1"/>
    <w:rsid w:val="00973276"/>
    <w:rsid w:val="009A7821"/>
    <w:rsid w:val="009C100F"/>
    <w:rsid w:val="009E2A08"/>
    <w:rsid w:val="009E40A0"/>
    <w:rsid w:val="009F2BE1"/>
    <w:rsid w:val="009F7872"/>
    <w:rsid w:val="00A03623"/>
    <w:rsid w:val="00A24F5A"/>
    <w:rsid w:val="00A369B6"/>
    <w:rsid w:val="00A41923"/>
    <w:rsid w:val="00A47D79"/>
    <w:rsid w:val="00A66E22"/>
    <w:rsid w:val="00A74149"/>
    <w:rsid w:val="00A75149"/>
    <w:rsid w:val="00A80641"/>
    <w:rsid w:val="00A841C5"/>
    <w:rsid w:val="00A96EAC"/>
    <w:rsid w:val="00A9741C"/>
    <w:rsid w:val="00AA3184"/>
    <w:rsid w:val="00AB01B5"/>
    <w:rsid w:val="00AB62A9"/>
    <w:rsid w:val="00AB7EBB"/>
    <w:rsid w:val="00AC34C4"/>
    <w:rsid w:val="00AC5B9D"/>
    <w:rsid w:val="00AF3CD4"/>
    <w:rsid w:val="00AF5D72"/>
    <w:rsid w:val="00B01987"/>
    <w:rsid w:val="00B14124"/>
    <w:rsid w:val="00B40385"/>
    <w:rsid w:val="00B42D04"/>
    <w:rsid w:val="00B42F6F"/>
    <w:rsid w:val="00B43E90"/>
    <w:rsid w:val="00B4753F"/>
    <w:rsid w:val="00B52010"/>
    <w:rsid w:val="00B53F5C"/>
    <w:rsid w:val="00B541EB"/>
    <w:rsid w:val="00B63696"/>
    <w:rsid w:val="00B679A3"/>
    <w:rsid w:val="00B74294"/>
    <w:rsid w:val="00B83C91"/>
    <w:rsid w:val="00B92005"/>
    <w:rsid w:val="00B95A73"/>
    <w:rsid w:val="00BA0925"/>
    <w:rsid w:val="00BA4AA6"/>
    <w:rsid w:val="00BA7487"/>
    <w:rsid w:val="00BB0423"/>
    <w:rsid w:val="00BB2F9B"/>
    <w:rsid w:val="00BB3961"/>
    <w:rsid w:val="00BC0B56"/>
    <w:rsid w:val="00BC3F0C"/>
    <w:rsid w:val="00BC4A70"/>
    <w:rsid w:val="00BD4CDD"/>
    <w:rsid w:val="00BE651E"/>
    <w:rsid w:val="00BF7B91"/>
    <w:rsid w:val="00C006A8"/>
    <w:rsid w:val="00C01481"/>
    <w:rsid w:val="00C01976"/>
    <w:rsid w:val="00C35E1F"/>
    <w:rsid w:val="00C42B5C"/>
    <w:rsid w:val="00C46757"/>
    <w:rsid w:val="00C5341C"/>
    <w:rsid w:val="00C53C77"/>
    <w:rsid w:val="00C55169"/>
    <w:rsid w:val="00C64D66"/>
    <w:rsid w:val="00C66579"/>
    <w:rsid w:val="00C70FA9"/>
    <w:rsid w:val="00C83F76"/>
    <w:rsid w:val="00C87A03"/>
    <w:rsid w:val="00CB1BE0"/>
    <w:rsid w:val="00CB4910"/>
    <w:rsid w:val="00CC7691"/>
    <w:rsid w:val="00CD002B"/>
    <w:rsid w:val="00CD1662"/>
    <w:rsid w:val="00CD6634"/>
    <w:rsid w:val="00CD72C0"/>
    <w:rsid w:val="00CE0CCE"/>
    <w:rsid w:val="00CE41A5"/>
    <w:rsid w:val="00CF02F8"/>
    <w:rsid w:val="00D02E10"/>
    <w:rsid w:val="00D138F7"/>
    <w:rsid w:val="00D271E3"/>
    <w:rsid w:val="00D328D4"/>
    <w:rsid w:val="00D36196"/>
    <w:rsid w:val="00D37418"/>
    <w:rsid w:val="00D51D81"/>
    <w:rsid w:val="00D56E78"/>
    <w:rsid w:val="00D66498"/>
    <w:rsid w:val="00D67642"/>
    <w:rsid w:val="00D72B6C"/>
    <w:rsid w:val="00D808CE"/>
    <w:rsid w:val="00D900AA"/>
    <w:rsid w:val="00DB0D6E"/>
    <w:rsid w:val="00DC4BE9"/>
    <w:rsid w:val="00DD22A5"/>
    <w:rsid w:val="00DD62D5"/>
    <w:rsid w:val="00DE03D9"/>
    <w:rsid w:val="00DF14FF"/>
    <w:rsid w:val="00E02B93"/>
    <w:rsid w:val="00E02DBF"/>
    <w:rsid w:val="00E15B43"/>
    <w:rsid w:val="00E15FF8"/>
    <w:rsid w:val="00E318D2"/>
    <w:rsid w:val="00E55684"/>
    <w:rsid w:val="00E60983"/>
    <w:rsid w:val="00E6302C"/>
    <w:rsid w:val="00E749A7"/>
    <w:rsid w:val="00E76659"/>
    <w:rsid w:val="00E77BDD"/>
    <w:rsid w:val="00E80DA0"/>
    <w:rsid w:val="00E91D64"/>
    <w:rsid w:val="00E927CA"/>
    <w:rsid w:val="00E93D8E"/>
    <w:rsid w:val="00EA4464"/>
    <w:rsid w:val="00EF2371"/>
    <w:rsid w:val="00F001E3"/>
    <w:rsid w:val="00F10F54"/>
    <w:rsid w:val="00F15968"/>
    <w:rsid w:val="00F20497"/>
    <w:rsid w:val="00F44C81"/>
    <w:rsid w:val="00F455F1"/>
    <w:rsid w:val="00F66352"/>
    <w:rsid w:val="00F67FA2"/>
    <w:rsid w:val="00F80369"/>
    <w:rsid w:val="00F82AA6"/>
    <w:rsid w:val="00F84F8E"/>
    <w:rsid w:val="00F9643F"/>
    <w:rsid w:val="00FA43F1"/>
    <w:rsid w:val="00FB4470"/>
    <w:rsid w:val="00FB49B0"/>
    <w:rsid w:val="00FB5204"/>
    <w:rsid w:val="00FC02F6"/>
    <w:rsid w:val="00FC1AD1"/>
    <w:rsid w:val="00FD409C"/>
    <w:rsid w:val="00FF2F59"/>
    <w:rsid w:val="00FF3E2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2EC692"/>
  <w15:docId w15:val="{45AA218A-D076-5748-ACBC-9BA2E113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91"/>
    <w:pPr>
      <w:widowControl w:val="0"/>
      <w:spacing w:after="200" w:line="276" w:lineRule="auto"/>
    </w:pPr>
    <w:rPr>
      <w:lang w:val="en-US"/>
    </w:rPr>
  </w:style>
  <w:style w:type="paragraph" w:styleId="Heading1">
    <w:name w:val="heading 1"/>
    <w:basedOn w:val="Normal"/>
    <w:link w:val="Heading1Char"/>
    <w:uiPriority w:val="9"/>
    <w:qFormat/>
    <w:rsid w:val="00CC7691"/>
    <w:pPr>
      <w:widowControl/>
      <w:spacing w:before="100" w:beforeAutospacing="1" w:after="100" w:afterAutospacing="1" w:line="240" w:lineRule="auto"/>
      <w:outlineLvl w:val="0"/>
    </w:pPr>
    <w:rPr>
      <w:rFonts w:ascii="Times" w:hAnsi="Times"/>
      <w:b/>
      <w:bCs/>
      <w:kern w:val="36"/>
      <w:sz w:val="48"/>
      <w:szCs w:val="48"/>
      <w:lang w:val="en-CA"/>
    </w:rPr>
  </w:style>
  <w:style w:type="paragraph" w:styleId="Heading2">
    <w:name w:val="heading 2"/>
    <w:basedOn w:val="Normal"/>
    <w:next w:val="Normal"/>
    <w:link w:val="Heading2Char"/>
    <w:uiPriority w:val="9"/>
    <w:unhideWhenUsed/>
    <w:qFormat/>
    <w:rsid w:val="00CC76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56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691"/>
    <w:rPr>
      <w:rFonts w:ascii="Times" w:hAnsi="Times"/>
      <w:b/>
      <w:bCs/>
      <w:kern w:val="36"/>
      <w:sz w:val="48"/>
      <w:szCs w:val="48"/>
    </w:rPr>
  </w:style>
  <w:style w:type="character" w:customStyle="1" w:styleId="Heading2Char">
    <w:name w:val="Heading 2 Char"/>
    <w:basedOn w:val="DefaultParagraphFont"/>
    <w:link w:val="Heading2"/>
    <w:uiPriority w:val="9"/>
    <w:rsid w:val="00CC7691"/>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CC7691"/>
    <w:rPr>
      <w:b/>
      <w:bCs/>
    </w:rPr>
  </w:style>
  <w:style w:type="character" w:styleId="CommentReference">
    <w:name w:val="annotation reference"/>
    <w:basedOn w:val="DefaultParagraphFont"/>
    <w:uiPriority w:val="99"/>
    <w:semiHidden/>
    <w:unhideWhenUsed/>
    <w:rsid w:val="00CC7691"/>
    <w:rPr>
      <w:sz w:val="16"/>
      <w:szCs w:val="16"/>
    </w:rPr>
  </w:style>
  <w:style w:type="paragraph" w:styleId="CommentText">
    <w:name w:val="annotation text"/>
    <w:basedOn w:val="Normal"/>
    <w:link w:val="CommentTextChar"/>
    <w:uiPriority w:val="99"/>
    <w:unhideWhenUsed/>
    <w:rsid w:val="00CC7691"/>
    <w:pPr>
      <w:spacing w:line="240" w:lineRule="auto"/>
    </w:pPr>
    <w:rPr>
      <w:sz w:val="20"/>
      <w:szCs w:val="20"/>
    </w:rPr>
  </w:style>
  <w:style w:type="character" w:customStyle="1" w:styleId="CommentTextChar">
    <w:name w:val="Comment Text Char"/>
    <w:basedOn w:val="DefaultParagraphFont"/>
    <w:link w:val="CommentText"/>
    <w:uiPriority w:val="99"/>
    <w:rsid w:val="00CC7691"/>
    <w:rPr>
      <w:sz w:val="20"/>
      <w:szCs w:val="20"/>
      <w:lang w:val="en-US"/>
    </w:rPr>
  </w:style>
  <w:style w:type="paragraph" w:styleId="CommentSubject">
    <w:name w:val="annotation subject"/>
    <w:basedOn w:val="CommentText"/>
    <w:next w:val="CommentText"/>
    <w:link w:val="CommentSubjectChar"/>
    <w:uiPriority w:val="99"/>
    <w:semiHidden/>
    <w:unhideWhenUsed/>
    <w:rsid w:val="00CC7691"/>
    <w:rPr>
      <w:b/>
      <w:bCs/>
    </w:rPr>
  </w:style>
  <w:style w:type="character" w:customStyle="1" w:styleId="CommentSubjectChar">
    <w:name w:val="Comment Subject Char"/>
    <w:basedOn w:val="CommentTextChar"/>
    <w:link w:val="CommentSubject"/>
    <w:uiPriority w:val="99"/>
    <w:semiHidden/>
    <w:rsid w:val="00CC7691"/>
    <w:rPr>
      <w:b/>
      <w:bCs/>
      <w:sz w:val="20"/>
      <w:szCs w:val="20"/>
      <w:lang w:val="en-US"/>
    </w:rPr>
  </w:style>
  <w:style w:type="paragraph" w:styleId="BalloonText">
    <w:name w:val="Balloon Text"/>
    <w:basedOn w:val="Normal"/>
    <w:link w:val="BalloonTextChar"/>
    <w:uiPriority w:val="99"/>
    <w:semiHidden/>
    <w:unhideWhenUsed/>
    <w:rsid w:val="00CC7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691"/>
    <w:rPr>
      <w:rFonts w:ascii="Tahoma" w:hAnsi="Tahoma" w:cs="Tahoma"/>
      <w:sz w:val="16"/>
      <w:szCs w:val="16"/>
      <w:lang w:val="en-US"/>
    </w:rPr>
  </w:style>
  <w:style w:type="character" w:styleId="Hyperlink">
    <w:name w:val="Hyperlink"/>
    <w:basedOn w:val="DefaultParagraphFont"/>
    <w:uiPriority w:val="99"/>
    <w:rsid w:val="00CC7691"/>
    <w:rPr>
      <w:rFonts w:cs="Times New Roman"/>
      <w:color w:val="0000FF"/>
      <w:u w:val="single"/>
    </w:rPr>
  </w:style>
  <w:style w:type="paragraph" w:styleId="ListParagraph">
    <w:name w:val="List Paragraph"/>
    <w:aliases w:val="Bullet,List Paragraph1,bullet 2,Normal bullets,List feature - Arial,Numbered List Paragraph,Use Case List Paragraph,Lettre d'introduction,List Paragraph - bullets,Milestone Bullet"/>
    <w:basedOn w:val="Normal"/>
    <w:link w:val="ListParagraphChar"/>
    <w:uiPriority w:val="1"/>
    <w:qFormat/>
    <w:rsid w:val="00CC7691"/>
    <w:pPr>
      <w:widowControl/>
      <w:ind w:left="720"/>
      <w:contextualSpacing/>
    </w:pPr>
    <w:rPr>
      <w:rFonts w:ascii="Calibri" w:eastAsia="Calibri" w:hAnsi="Calibri" w:cs="Times New Roman"/>
      <w:lang w:val="en-CA"/>
    </w:rPr>
  </w:style>
  <w:style w:type="paragraph" w:styleId="FootnoteText">
    <w:name w:val="footnote text"/>
    <w:basedOn w:val="Normal"/>
    <w:link w:val="FootnoteTextChar"/>
    <w:uiPriority w:val="99"/>
    <w:unhideWhenUsed/>
    <w:rsid w:val="00CC7691"/>
    <w:pPr>
      <w:spacing w:after="0" w:line="240" w:lineRule="auto"/>
    </w:pPr>
    <w:rPr>
      <w:sz w:val="20"/>
      <w:szCs w:val="20"/>
    </w:rPr>
  </w:style>
  <w:style w:type="character" w:customStyle="1" w:styleId="FootnoteTextChar">
    <w:name w:val="Footnote Text Char"/>
    <w:basedOn w:val="DefaultParagraphFont"/>
    <w:link w:val="FootnoteText"/>
    <w:uiPriority w:val="99"/>
    <w:rsid w:val="00CC7691"/>
    <w:rPr>
      <w:sz w:val="20"/>
      <w:szCs w:val="20"/>
      <w:lang w:val="en-US"/>
    </w:rPr>
  </w:style>
  <w:style w:type="character" w:styleId="FootnoteReference">
    <w:name w:val="footnote reference"/>
    <w:basedOn w:val="DefaultParagraphFont"/>
    <w:uiPriority w:val="99"/>
    <w:unhideWhenUsed/>
    <w:rsid w:val="00CC7691"/>
    <w:rPr>
      <w:vertAlign w:val="superscript"/>
    </w:rPr>
  </w:style>
  <w:style w:type="paragraph" w:styleId="Revision">
    <w:name w:val="Revision"/>
    <w:hidden/>
    <w:uiPriority w:val="99"/>
    <w:semiHidden/>
    <w:rsid w:val="00CC7691"/>
    <w:pPr>
      <w:spacing w:after="0" w:line="240" w:lineRule="auto"/>
    </w:pPr>
    <w:rPr>
      <w:lang w:val="en-US"/>
    </w:rPr>
  </w:style>
  <w:style w:type="character" w:styleId="FollowedHyperlink">
    <w:name w:val="FollowedHyperlink"/>
    <w:basedOn w:val="DefaultParagraphFont"/>
    <w:uiPriority w:val="99"/>
    <w:semiHidden/>
    <w:unhideWhenUsed/>
    <w:rsid w:val="00CC7691"/>
    <w:rPr>
      <w:color w:val="954F72" w:themeColor="followedHyperlink"/>
      <w:u w:val="single"/>
    </w:rPr>
  </w:style>
  <w:style w:type="paragraph" w:styleId="Header">
    <w:name w:val="header"/>
    <w:basedOn w:val="Normal"/>
    <w:link w:val="HeaderChar"/>
    <w:uiPriority w:val="99"/>
    <w:unhideWhenUsed/>
    <w:rsid w:val="00CC7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691"/>
    <w:rPr>
      <w:lang w:val="en-US"/>
    </w:rPr>
  </w:style>
  <w:style w:type="paragraph" w:styleId="Footer">
    <w:name w:val="footer"/>
    <w:basedOn w:val="Normal"/>
    <w:link w:val="FooterChar"/>
    <w:uiPriority w:val="99"/>
    <w:unhideWhenUsed/>
    <w:rsid w:val="00CC7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691"/>
    <w:rPr>
      <w:lang w:val="en-US"/>
    </w:rPr>
  </w:style>
  <w:style w:type="paragraph" w:customStyle="1" w:styleId="Default">
    <w:name w:val="Default"/>
    <w:rsid w:val="00CC769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C7691"/>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CC7691"/>
    <w:pPr>
      <w:widowControl/>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semiHidden/>
    <w:rsid w:val="00CC7691"/>
    <w:rPr>
      <w:rFonts w:ascii="Calibri" w:hAnsi="Calibri"/>
      <w:szCs w:val="21"/>
    </w:rPr>
  </w:style>
  <w:style w:type="paragraph" w:styleId="EndnoteText">
    <w:name w:val="endnote text"/>
    <w:basedOn w:val="Normal"/>
    <w:link w:val="EndnoteTextChar"/>
    <w:uiPriority w:val="99"/>
    <w:semiHidden/>
    <w:unhideWhenUsed/>
    <w:rsid w:val="00CC76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7691"/>
    <w:rPr>
      <w:sz w:val="20"/>
      <w:szCs w:val="20"/>
      <w:lang w:val="en-US"/>
    </w:rPr>
  </w:style>
  <w:style w:type="character" w:styleId="EndnoteReference">
    <w:name w:val="endnote reference"/>
    <w:basedOn w:val="DefaultParagraphFont"/>
    <w:uiPriority w:val="99"/>
    <w:semiHidden/>
    <w:unhideWhenUsed/>
    <w:rsid w:val="00CC7691"/>
    <w:rPr>
      <w:vertAlign w:val="superscript"/>
    </w:rPr>
  </w:style>
  <w:style w:type="character" w:styleId="Emphasis">
    <w:name w:val="Emphasis"/>
    <w:basedOn w:val="DefaultParagraphFont"/>
    <w:uiPriority w:val="20"/>
    <w:qFormat/>
    <w:rsid w:val="006B6C69"/>
    <w:rPr>
      <w:i/>
      <w:iCs/>
    </w:rPr>
  </w:style>
  <w:style w:type="character" w:customStyle="1" w:styleId="normaltextrun">
    <w:name w:val="normaltextrun"/>
    <w:basedOn w:val="DefaultParagraphFont"/>
    <w:rsid w:val="00D66498"/>
  </w:style>
  <w:style w:type="paragraph" w:customStyle="1" w:styleId="paragraph">
    <w:name w:val="paragraph"/>
    <w:basedOn w:val="Normal"/>
    <w:rsid w:val="00D66498"/>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nresolvedMention1">
    <w:name w:val="Unresolved Mention1"/>
    <w:basedOn w:val="DefaultParagraphFont"/>
    <w:uiPriority w:val="99"/>
    <w:semiHidden/>
    <w:unhideWhenUsed/>
    <w:rsid w:val="003E7ADC"/>
    <w:rPr>
      <w:color w:val="605E5C"/>
      <w:shd w:val="clear" w:color="auto" w:fill="E1DFDD"/>
    </w:rPr>
  </w:style>
  <w:style w:type="character" w:customStyle="1" w:styleId="ListParagraphChar">
    <w:name w:val="List Paragraph Char"/>
    <w:aliases w:val="Bullet Char,List Paragraph1 Char,bullet 2 Char,Normal bullets Char,List feature - Arial Char,Numbered List Paragraph Char,Use Case List Paragraph Char,Lettre d'introduction Char,List Paragraph - bullets Char,Milestone Bullet Char"/>
    <w:basedOn w:val="DefaultParagraphFont"/>
    <w:link w:val="ListParagraph"/>
    <w:uiPriority w:val="1"/>
    <w:locked/>
    <w:rsid w:val="00E60983"/>
    <w:rPr>
      <w:rFonts w:ascii="Calibri" w:eastAsia="Calibri" w:hAnsi="Calibri" w:cs="Times New Roman"/>
    </w:rPr>
  </w:style>
  <w:style w:type="table" w:styleId="TableGrid">
    <w:name w:val="Table Grid"/>
    <w:basedOn w:val="TableNormal"/>
    <w:uiPriority w:val="59"/>
    <w:rsid w:val="00B4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D72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intro">
    <w:name w:val="intro"/>
    <w:basedOn w:val="Normal"/>
    <w:rsid w:val="00F10F54"/>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3Char">
    <w:name w:val="Heading 3 Char"/>
    <w:basedOn w:val="DefaultParagraphFont"/>
    <w:link w:val="Heading3"/>
    <w:uiPriority w:val="9"/>
    <w:rsid w:val="00175694"/>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47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4461">
      <w:bodyDiv w:val="1"/>
      <w:marLeft w:val="0"/>
      <w:marRight w:val="0"/>
      <w:marTop w:val="0"/>
      <w:marBottom w:val="0"/>
      <w:divBdr>
        <w:top w:val="none" w:sz="0" w:space="0" w:color="auto"/>
        <w:left w:val="none" w:sz="0" w:space="0" w:color="auto"/>
        <w:bottom w:val="none" w:sz="0" w:space="0" w:color="auto"/>
        <w:right w:val="none" w:sz="0" w:space="0" w:color="auto"/>
      </w:divBdr>
    </w:div>
    <w:div w:id="405341758">
      <w:bodyDiv w:val="1"/>
      <w:marLeft w:val="0"/>
      <w:marRight w:val="0"/>
      <w:marTop w:val="0"/>
      <w:marBottom w:val="0"/>
      <w:divBdr>
        <w:top w:val="none" w:sz="0" w:space="0" w:color="auto"/>
        <w:left w:val="none" w:sz="0" w:space="0" w:color="auto"/>
        <w:bottom w:val="none" w:sz="0" w:space="0" w:color="auto"/>
        <w:right w:val="none" w:sz="0" w:space="0" w:color="auto"/>
      </w:divBdr>
      <w:divsChild>
        <w:div w:id="1694459425">
          <w:marLeft w:val="0"/>
          <w:marRight w:val="0"/>
          <w:marTop w:val="0"/>
          <w:marBottom w:val="0"/>
          <w:divBdr>
            <w:top w:val="none" w:sz="0" w:space="0" w:color="auto"/>
            <w:left w:val="none" w:sz="0" w:space="0" w:color="auto"/>
            <w:bottom w:val="none" w:sz="0" w:space="0" w:color="auto"/>
            <w:right w:val="none" w:sz="0" w:space="0" w:color="auto"/>
          </w:divBdr>
          <w:divsChild>
            <w:div w:id="1320620683">
              <w:marLeft w:val="0"/>
              <w:marRight w:val="0"/>
              <w:marTop w:val="0"/>
              <w:marBottom w:val="0"/>
              <w:divBdr>
                <w:top w:val="none" w:sz="0" w:space="0" w:color="auto"/>
                <w:left w:val="none" w:sz="0" w:space="0" w:color="auto"/>
                <w:bottom w:val="none" w:sz="0" w:space="0" w:color="auto"/>
                <w:right w:val="none" w:sz="0" w:space="0" w:color="auto"/>
              </w:divBdr>
              <w:divsChild>
                <w:div w:id="1732188624">
                  <w:marLeft w:val="0"/>
                  <w:marRight w:val="0"/>
                  <w:marTop w:val="0"/>
                  <w:marBottom w:val="0"/>
                  <w:divBdr>
                    <w:top w:val="none" w:sz="0" w:space="0" w:color="auto"/>
                    <w:left w:val="none" w:sz="0" w:space="0" w:color="auto"/>
                    <w:bottom w:val="none" w:sz="0" w:space="0" w:color="auto"/>
                    <w:right w:val="none" w:sz="0" w:space="0" w:color="auto"/>
                  </w:divBdr>
                  <w:divsChild>
                    <w:div w:id="3526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77653">
      <w:bodyDiv w:val="1"/>
      <w:marLeft w:val="0"/>
      <w:marRight w:val="0"/>
      <w:marTop w:val="0"/>
      <w:marBottom w:val="0"/>
      <w:divBdr>
        <w:top w:val="none" w:sz="0" w:space="0" w:color="auto"/>
        <w:left w:val="none" w:sz="0" w:space="0" w:color="auto"/>
        <w:bottom w:val="none" w:sz="0" w:space="0" w:color="auto"/>
        <w:right w:val="none" w:sz="0" w:space="0" w:color="auto"/>
      </w:divBdr>
    </w:div>
    <w:div w:id="679545925">
      <w:bodyDiv w:val="1"/>
      <w:marLeft w:val="0"/>
      <w:marRight w:val="0"/>
      <w:marTop w:val="0"/>
      <w:marBottom w:val="0"/>
      <w:divBdr>
        <w:top w:val="none" w:sz="0" w:space="0" w:color="auto"/>
        <w:left w:val="none" w:sz="0" w:space="0" w:color="auto"/>
        <w:bottom w:val="none" w:sz="0" w:space="0" w:color="auto"/>
        <w:right w:val="none" w:sz="0" w:space="0" w:color="auto"/>
      </w:divBdr>
    </w:div>
    <w:div w:id="783618440">
      <w:bodyDiv w:val="1"/>
      <w:marLeft w:val="0"/>
      <w:marRight w:val="0"/>
      <w:marTop w:val="0"/>
      <w:marBottom w:val="0"/>
      <w:divBdr>
        <w:top w:val="none" w:sz="0" w:space="0" w:color="auto"/>
        <w:left w:val="none" w:sz="0" w:space="0" w:color="auto"/>
        <w:bottom w:val="none" w:sz="0" w:space="0" w:color="auto"/>
        <w:right w:val="none" w:sz="0" w:space="0" w:color="auto"/>
      </w:divBdr>
      <w:divsChild>
        <w:div w:id="485895939">
          <w:marLeft w:val="144"/>
          <w:marRight w:val="0"/>
          <w:marTop w:val="240"/>
          <w:marBottom w:val="40"/>
          <w:divBdr>
            <w:top w:val="none" w:sz="0" w:space="0" w:color="auto"/>
            <w:left w:val="none" w:sz="0" w:space="0" w:color="auto"/>
            <w:bottom w:val="none" w:sz="0" w:space="0" w:color="auto"/>
            <w:right w:val="none" w:sz="0" w:space="0" w:color="auto"/>
          </w:divBdr>
        </w:div>
      </w:divsChild>
    </w:div>
    <w:div w:id="1021664405">
      <w:bodyDiv w:val="1"/>
      <w:marLeft w:val="0"/>
      <w:marRight w:val="0"/>
      <w:marTop w:val="0"/>
      <w:marBottom w:val="0"/>
      <w:divBdr>
        <w:top w:val="none" w:sz="0" w:space="0" w:color="auto"/>
        <w:left w:val="none" w:sz="0" w:space="0" w:color="auto"/>
        <w:bottom w:val="none" w:sz="0" w:space="0" w:color="auto"/>
        <w:right w:val="none" w:sz="0" w:space="0" w:color="auto"/>
      </w:divBdr>
    </w:div>
    <w:div w:id="1257832450">
      <w:bodyDiv w:val="1"/>
      <w:marLeft w:val="0"/>
      <w:marRight w:val="0"/>
      <w:marTop w:val="0"/>
      <w:marBottom w:val="0"/>
      <w:divBdr>
        <w:top w:val="none" w:sz="0" w:space="0" w:color="auto"/>
        <w:left w:val="none" w:sz="0" w:space="0" w:color="auto"/>
        <w:bottom w:val="none" w:sz="0" w:space="0" w:color="auto"/>
        <w:right w:val="none" w:sz="0" w:space="0" w:color="auto"/>
      </w:divBdr>
      <w:divsChild>
        <w:div w:id="1976911106">
          <w:marLeft w:val="0"/>
          <w:marRight w:val="0"/>
          <w:marTop w:val="0"/>
          <w:marBottom w:val="0"/>
          <w:divBdr>
            <w:top w:val="none" w:sz="0" w:space="0" w:color="auto"/>
            <w:left w:val="none" w:sz="0" w:space="0" w:color="auto"/>
            <w:bottom w:val="none" w:sz="0" w:space="0" w:color="auto"/>
            <w:right w:val="none" w:sz="0" w:space="0" w:color="auto"/>
          </w:divBdr>
        </w:div>
        <w:div w:id="2068919985">
          <w:marLeft w:val="0"/>
          <w:marRight w:val="0"/>
          <w:marTop w:val="0"/>
          <w:marBottom w:val="0"/>
          <w:divBdr>
            <w:top w:val="none" w:sz="0" w:space="0" w:color="auto"/>
            <w:left w:val="none" w:sz="0" w:space="0" w:color="auto"/>
            <w:bottom w:val="none" w:sz="0" w:space="0" w:color="auto"/>
            <w:right w:val="none" w:sz="0" w:space="0" w:color="auto"/>
          </w:divBdr>
        </w:div>
        <w:div w:id="1012604657">
          <w:marLeft w:val="0"/>
          <w:marRight w:val="0"/>
          <w:marTop w:val="0"/>
          <w:marBottom w:val="0"/>
          <w:divBdr>
            <w:top w:val="none" w:sz="0" w:space="0" w:color="auto"/>
            <w:left w:val="none" w:sz="0" w:space="0" w:color="auto"/>
            <w:bottom w:val="none" w:sz="0" w:space="0" w:color="auto"/>
            <w:right w:val="none" w:sz="0" w:space="0" w:color="auto"/>
          </w:divBdr>
        </w:div>
        <w:div w:id="200672409">
          <w:marLeft w:val="0"/>
          <w:marRight w:val="0"/>
          <w:marTop w:val="0"/>
          <w:marBottom w:val="0"/>
          <w:divBdr>
            <w:top w:val="none" w:sz="0" w:space="0" w:color="auto"/>
            <w:left w:val="none" w:sz="0" w:space="0" w:color="auto"/>
            <w:bottom w:val="none" w:sz="0" w:space="0" w:color="auto"/>
            <w:right w:val="none" w:sz="0" w:space="0" w:color="auto"/>
          </w:divBdr>
        </w:div>
        <w:div w:id="1588727148">
          <w:marLeft w:val="0"/>
          <w:marRight w:val="0"/>
          <w:marTop w:val="0"/>
          <w:marBottom w:val="0"/>
          <w:divBdr>
            <w:top w:val="none" w:sz="0" w:space="0" w:color="auto"/>
            <w:left w:val="none" w:sz="0" w:space="0" w:color="auto"/>
            <w:bottom w:val="none" w:sz="0" w:space="0" w:color="auto"/>
            <w:right w:val="none" w:sz="0" w:space="0" w:color="auto"/>
          </w:divBdr>
        </w:div>
        <w:div w:id="2018802806">
          <w:marLeft w:val="0"/>
          <w:marRight w:val="0"/>
          <w:marTop w:val="0"/>
          <w:marBottom w:val="0"/>
          <w:divBdr>
            <w:top w:val="none" w:sz="0" w:space="0" w:color="auto"/>
            <w:left w:val="none" w:sz="0" w:space="0" w:color="auto"/>
            <w:bottom w:val="none" w:sz="0" w:space="0" w:color="auto"/>
            <w:right w:val="none" w:sz="0" w:space="0" w:color="auto"/>
          </w:divBdr>
        </w:div>
        <w:div w:id="1434939675">
          <w:marLeft w:val="0"/>
          <w:marRight w:val="0"/>
          <w:marTop w:val="0"/>
          <w:marBottom w:val="0"/>
          <w:divBdr>
            <w:top w:val="none" w:sz="0" w:space="0" w:color="auto"/>
            <w:left w:val="none" w:sz="0" w:space="0" w:color="auto"/>
            <w:bottom w:val="none" w:sz="0" w:space="0" w:color="auto"/>
            <w:right w:val="none" w:sz="0" w:space="0" w:color="auto"/>
          </w:divBdr>
        </w:div>
      </w:divsChild>
    </w:div>
    <w:div w:id="1639728541">
      <w:bodyDiv w:val="1"/>
      <w:marLeft w:val="0"/>
      <w:marRight w:val="0"/>
      <w:marTop w:val="0"/>
      <w:marBottom w:val="0"/>
      <w:divBdr>
        <w:top w:val="none" w:sz="0" w:space="0" w:color="auto"/>
        <w:left w:val="none" w:sz="0" w:space="0" w:color="auto"/>
        <w:bottom w:val="none" w:sz="0" w:space="0" w:color="auto"/>
        <w:right w:val="none" w:sz="0" w:space="0" w:color="auto"/>
      </w:divBdr>
    </w:div>
    <w:div w:id="1746611768">
      <w:bodyDiv w:val="1"/>
      <w:marLeft w:val="0"/>
      <w:marRight w:val="0"/>
      <w:marTop w:val="0"/>
      <w:marBottom w:val="0"/>
      <w:divBdr>
        <w:top w:val="none" w:sz="0" w:space="0" w:color="auto"/>
        <w:left w:val="none" w:sz="0" w:space="0" w:color="auto"/>
        <w:bottom w:val="none" w:sz="0" w:space="0" w:color="auto"/>
        <w:right w:val="none" w:sz="0" w:space="0" w:color="auto"/>
      </w:divBdr>
      <w:divsChild>
        <w:div w:id="76482473">
          <w:marLeft w:val="144"/>
          <w:marRight w:val="0"/>
          <w:marTop w:val="240"/>
          <w:marBottom w:val="40"/>
          <w:divBdr>
            <w:top w:val="none" w:sz="0" w:space="0" w:color="auto"/>
            <w:left w:val="none" w:sz="0" w:space="0" w:color="auto"/>
            <w:bottom w:val="none" w:sz="0" w:space="0" w:color="auto"/>
            <w:right w:val="none" w:sz="0" w:space="0" w:color="auto"/>
          </w:divBdr>
        </w:div>
      </w:divsChild>
    </w:div>
    <w:div w:id="1811826646">
      <w:bodyDiv w:val="1"/>
      <w:marLeft w:val="0"/>
      <w:marRight w:val="0"/>
      <w:marTop w:val="0"/>
      <w:marBottom w:val="0"/>
      <w:divBdr>
        <w:top w:val="none" w:sz="0" w:space="0" w:color="auto"/>
        <w:left w:val="none" w:sz="0" w:space="0" w:color="auto"/>
        <w:bottom w:val="none" w:sz="0" w:space="0" w:color="auto"/>
        <w:right w:val="none" w:sz="0" w:space="0" w:color="auto"/>
      </w:divBdr>
    </w:div>
    <w:div w:id="195763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overdose-awareness/rural-indigenous-overdose-action-exchange.pdf" TargetMode="External"/><Relationship Id="rId13" Type="http://schemas.openxmlformats.org/officeDocument/2006/relationships/footer" Target="footer2.xml"/><Relationship Id="rId18" Type="http://schemas.openxmlformats.org/officeDocument/2006/relationships/hyperlink" Target="https://wisepractice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ccdc.ca/health-info/prevention-public-health/health-equity" TargetMode="External"/><Relationship Id="rId2" Type="http://schemas.openxmlformats.org/officeDocument/2006/relationships/numbering" Target="numbering.xml"/><Relationship Id="rId16" Type="http://schemas.openxmlformats.org/officeDocument/2006/relationships/hyperlink" Target="http://www.fnha.ca/wellness/cultural-hum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nha.ca/Documents/FNHA-Cultural-Safety-and-Humility-Definitions.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fayant@caib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bccdc.ca/resource-gallery/Documents/Educational%20Materials/Epid/Other/peer_payment-guide_2018.pdf" TargetMode="External"/><Relationship Id="rId1" Type="http://schemas.openxmlformats.org/officeDocument/2006/relationships/hyperlink" Target="https://www2.gov.bc.ca/assets/gov/birth-adoption-death-marriage-and-divorce/deaths/coroners-service/statistical/illicit-dru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CA78-C127-4879-B18B-B5039D4D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mmarkey</dc:creator>
  <cp:keywords/>
  <dc:description/>
  <cp:lastModifiedBy>Melinda Markey</cp:lastModifiedBy>
  <cp:revision>2</cp:revision>
  <cp:lastPrinted>2019-06-24T16:25:00Z</cp:lastPrinted>
  <dcterms:created xsi:type="dcterms:W3CDTF">2020-12-03T20:13:00Z</dcterms:created>
  <dcterms:modified xsi:type="dcterms:W3CDTF">2020-12-03T20:13:00Z</dcterms:modified>
</cp:coreProperties>
</file>